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EC" w:rsidRPr="008D26EC" w:rsidRDefault="008D26EC" w:rsidP="008D26EC">
      <w:pPr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5071C" wp14:editId="766E9BBA">
                <wp:simplePos x="0" y="0"/>
                <wp:positionH relativeFrom="column">
                  <wp:posOffset>4949190</wp:posOffset>
                </wp:positionH>
                <wp:positionV relativeFrom="paragraph">
                  <wp:posOffset>-347345</wp:posOffset>
                </wp:positionV>
                <wp:extent cx="1314450" cy="17145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6EC" w:rsidRPr="008D26EC" w:rsidRDefault="008D26EC" w:rsidP="008D26EC">
                            <w:pPr>
                              <w:pStyle w:val="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D26E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  <w:p w:rsidR="008D26EC" w:rsidRPr="008D26EC" w:rsidRDefault="008D26EC" w:rsidP="008D26EC">
                            <w:pPr>
                              <w:pStyle w:val="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D26E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июля</w:t>
                            </w:r>
                          </w:p>
                          <w:p w:rsidR="008D26EC" w:rsidRPr="008D26EC" w:rsidRDefault="008D26EC" w:rsidP="008D26EC">
                            <w:pPr>
                              <w:pStyle w:val="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D26E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2020 год</w:t>
                            </w:r>
                          </w:p>
                          <w:p w:rsidR="008D26EC" w:rsidRPr="008D26EC" w:rsidRDefault="008D26EC" w:rsidP="008D2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8D26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9.7pt;margin-top:-27.35pt;width:103.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">
                <v:textbox>
                  <w:txbxContent>
                    <w:p w:rsidR="008D26EC" w:rsidRPr="008D26EC" w:rsidRDefault="008D26EC" w:rsidP="008D26EC">
                      <w:pPr>
                        <w:pStyle w:val="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D26E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15</w:t>
                      </w:r>
                    </w:p>
                    <w:p w:rsidR="008D26EC" w:rsidRPr="008D26EC" w:rsidRDefault="008D26EC" w:rsidP="008D26EC">
                      <w:pPr>
                        <w:pStyle w:val="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D26E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июля</w:t>
                      </w:r>
                    </w:p>
                    <w:p w:rsidR="008D26EC" w:rsidRPr="008D26EC" w:rsidRDefault="008D26EC" w:rsidP="008D26EC">
                      <w:pPr>
                        <w:pStyle w:val="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D26E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2020 год</w:t>
                      </w:r>
                    </w:p>
                    <w:p w:rsidR="008D26EC" w:rsidRPr="008D26EC" w:rsidRDefault="008D26EC" w:rsidP="008D26E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8D26EC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№ 11</w:t>
                      </w:r>
                    </w:p>
                  </w:txbxContent>
                </v:textbox>
              </v:rect>
            </w:pict>
          </mc:Fallback>
        </mc:AlternateContent>
      </w:r>
      <w:r w:rsidR="005633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2.95pt;margin-top:-24.8pt;width:340.5pt;height:108pt;z-index:251661312;mso-position-horizontal-relative:text;mso-position-vertical-relative:text" fillcolor="black">
            <v:shadow color="#868686"/>
            <v:textpath style="font-family:&quot;Impact&quot;;v-text-kern:t" trim="t" fitpath="t" string="Коломыцевский&#10;муниципальный &#10;ВЕСТНИК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78D0C" wp14:editId="2FEAC49A">
                <wp:simplePos x="0" y="0"/>
                <wp:positionH relativeFrom="column">
                  <wp:posOffset>15241</wp:posOffset>
                </wp:positionH>
                <wp:positionV relativeFrom="paragraph">
                  <wp:posOffset>-347345</wp:posOffset>
                </wp:positionV>
                <wp:extent cx="4953000" cy="4572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2pt;margin-top:-27.35pt;width:3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" stroked="f"/>
            </w:pict>
          </mc:Fallback>
        </mc:AlternateContent>
      </w:r>
      <w:r w:rsidRPr="008D26E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24</w:t>
      </w:r>
    </w:p>
    <w:p w:rsidR="008D26EC" w:rsidRPr="008D26EC" w:rsidRDefault="008D26EC" w:rsidP="008D26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EC" w:rsidRPr="008D26EC" w:rsidRDefault="008D26EC" w:rsidP="008D26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EC" w:rsidRPr="008D26EC" w:rsidRDefault="008D26EC" w:rsidP="008D26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EC" w:rsidRPr="008D26EC" w:rsidRDefault="008D26EC" w:rsidP="008D26EC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6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D26EC" w:rsidRPr="008D26EC" w:rsidRDefault="008D26EC" w:rsidP="008D26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6EC" w:rsidRPr="008D26EC" w:rsidRDefault="008D26EC" w:rsidP="008D26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5400" t="27940" r="22225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kxVQIAAGQEAAAOAAAAZHJzL2Uyb0RvYy54bWysVM2O0zAQviPxDlbu3STd7G432nSFmpbL&#10;Aivt8gCu7TQWjm3ZbtMKIQFnpH0EXoEDSCst8AzpGzF2f6BwQYgcnPF45ss334xzcblsBFowY7mS&#10;RZQeJRFikijK5ayIXt5OeoMIWYclxUJJVkQrZqPL4eNHF63OWV/VSlBmEIBIm7e6iGrndB7HltSs&#10;wfZIaSbhsFKmwQ62ZhZTg1tAb0TcT5LT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8D26EC" w:rsidRPr="008D26EC" w:rsidRDefault="008D26EC" w:rsidP="008D26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6EC" w:rsidRPr="008D26EC" w:rsidRDefault="008D26EC" w:rsidP="008D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5A" w:rsidRPr="00BA7C5A" w:rsidRDefault="00BA7C5A" w:rsidP="00BA7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A7C5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BA7C5A" w:rsidRPr="00BA7C5A" w:rsidRDefault="00BA7C5A" w:rsidP="00BA7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A7C5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BA7C5A" w:rsidRPr="00BA7C5A" w:rsidRDefault="00BA7C5A" w:rsidP="00BA7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A7C5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 РАЙОНА</w:t>
      </w:r>
    </w:p>
    <w:p w:rsidR="00BA7C5A" w:rsidRPr="00BA7C5A" w:rsidRDefault="00BA7C5A" w:rsidP="00BA7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A7C5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BA7C5A" w:rsidRPr="00BA7C5A" w:rsidRDefault="00BA7C5A" w:rsidP="00BA7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7C5A" w:rsidRPr="00BA7C5A" w:rsidRDefault="00BA7C5A" w:rsidP="00BA7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A7C5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РЕШЕНИЕ          </w:t>
      </w:r>
    </w:p>
    <w:p w:rsidR="003A5F02" w:rsidRPr="003A5F02" w:rsidRDefault="003A5F02" w:rsidP="003A5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14   июля   2020 год                                 №  246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Село  Коломыцево</w:t>
      </w:r>
    </w:p>
    <w:p w:rsidR="003A5F02" w:rsidRPr="003A5F02" w:rsidRDefault="003A5F02" w:rsidP="003A5F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Коломыцевского сельского поселения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п.3 ч.5 ст. 39.28 Земельного кодекса Российской Федерации, Федеральным законом от 06.10.2003 №131-ФЗ «Об общих принципах организации местного самоуправления </w:t>
      </w:r>
      <w:proofErr w:type="gramStart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proofErr w:type="gramEnd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Российской Федерации», Уставом Коломыцевского сельского поселения Лискинского муниципального района Воронежской области, Совет народных депутатов Коломыцевского сельского поселения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РЕШИЛ: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Коломыцевского сельского поселения согласно приложению.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2. Опубликовать настоящее решение в установленном порядке.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proofErr w:type="gramStart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решения возложить на администрацию Коломыцевского сельского поселения.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Глава Коломыцевского сельского поселения                                    </w:t>
      </w:r>
      <w:proofErr w:type="spellStart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И.В.Жидкова</w:t>
      </w:r>
      <w:proofErr w:type="spellEnd"/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</w:t>
      </w: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Приложение </w:t>
      </w:r>
    </w:p>
    <w:p w:rsidR="003A5F02" w:rsidRPr="003A5F02" w:rsidRDefault="003A5F02" w:rsidP="003A5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Совета народных депутатов Коломыцевского сельского поселения </w:t>
      </w:r>
    </w:p>
    <w:p w:rsidR="003A5F02" w:rsidRPr="003A5F02" w:rsidRDefault="003A5F02" w:rsidP="003A5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 14.07.2020 г.   № 246</w:t>
      </w:r>
    </w:p>
    <w:p w:rsidR="003A5F02" w:rsidRPr="003A5F02" w:rsidRDefault="003A5F02" w:rsidP="003A5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A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ПОРЯДОК</w:t>
      </w:r>
    </w:p>
    <w:p w:rsidR="003A5F02" w:rsidRPr="003A5F02" w:rsidRDefault="003A5F02" w:rsidP="003A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определения размера платы за увеличение площади </w:t>
      </w:r>
      <w:proofErr w:type="gramStart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земельных</w:t>
      </w:r>
      <w:proofErr w:type="gramEnd"/>
    </w:p>
    <w:p w:rsidR="003A5F02" w:rsidRPr="003A5F02" w:rsidRDefault="003A5F02" w:rsidP="003A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участков, находящихся в частной собственности, в результате их перераспределения с земельными участками, находящимися в собственности Коломыцевского сельского поселения Лискинского</w:t>
      </w:r>
    </w:p>
    <w:p w:rsidR="003A5F02" w:rsidRPr="003A5F02" w:rsidRDefault="003A5F02" w:rsidP="003A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района Воронежской области</w:t>
      </w:r>
    </w:p>
    <w:p w:rsidR="003A5F02" w:rsidRPr="003A5F02" w:rsidRDefault="003A5F02" w:rsidP="003377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5F02" w:rsidRPr="003A5F02" w:rsidRDefault="003A5F02" w:rsidP="003377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1. Настоящий Порядок разработан в соответствии с п.3 ч.5 ст. 39.28 Земельного кодекса Российской Федерации.</w:t>
      </w:r>
    </w:p>
    <w:p w:rsidR="003A5F02" w:rsidRPr="003A5F02" w:rsidRDefault="003A5F02" w:rsidP="003377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Размер платы рассчитывается администрацией Коломыцевского сельского поселения Лискинского муниципального района Воронежской области, обладающей правом распоряжения находящимися в собственности поселения земельными участками, расположенными на территории Коломыцевского сельского поселения Лискинского муниципального района Воронежской области, в соответствии с нормами Земельного кодекса Российской Федерации. </w:t>
      </w:r>
    </w:p>
    <w:p w:rsidR="003A5F02" w:rsidRPr="003A5F02" w:rsidRDefault="003A5F02" w:rsidP="003377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proofErr w:type="gramStart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Размер платы определяется как 50 процентов кадастровой стоимости земельного участка, находящегося в собственности Коломыцевского сельского поселения Лискинского муниципального района Воронежской области, расположенного на территории Коломыцевского сельского поселения Лискинского муниципального района Воронежской области,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</w:t>
      </w:r>
      <w:proofErr w:type="gramEnd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 настоящего Порядка. </w:t>
      </w:r>
    </w:p>
    <w:p w:rsidR="00337748" w:rsidRDefault="003A5F02" w:rsidP="0033774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proofErr w:type="gramStart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нужд Коломыцевского сельского поселения Лискинского муниципального района Воронежской области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Коломыцевского сельского поселения Лискинского муниципального района Воронежской области, подлежащей передаче в частную собственность в результате перераспределения</w:t>
      </w:r>
      <w:proofErr w:type="gramEnd"/>
      <w:r w:rsidRPr="003A5F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земельных участков.</w:t>
      </w:r>
      <w:r w:rsidRPr="003A5F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337748" w:rsidRDefault="00337748" w:rsidP="003A5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37748" w:rsidRDefault="00337748" w:rsidP="0033774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НАРОДНЫХ ДЕПУТАТОВ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 МУНИЦИПАЛЬНОГО РАЙОНА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337748" w:rsidRPr="00337748" w:rsidRDefault="00337748" w:rsidP="0033774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14   июля    2020 год                                 №  247</w:t>
      </w:r>
    </w:p>
    <w:p w:rsidR="00337748" w:rsidRPr="00337748" w:rsidRDefault="00337748" w:rsidP="0033774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Село  Коломыцево</w:t>
      </w:r>
    </w:p>
    <w:p w:rsidR="00337748" w:rsidRDefault="00337748" w:rsidP="0033774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Порядка осуществления лицами, замещающими муниципальные должности, и лицами, замещающими должности муниципальной службы в органах местного самоуправления Коломыцевского сельского поселения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 Коломыцевского сельского поселения Лискинского муниципального района Воронежской области, Совет народных депутатов Коломыцевского сельского поселения РЕШИЛ:</w:t>
      </w:r>
      <w:proofErr w:type="gramEnd"/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Порядок осуществления лицами, замещающими муниципальные должности в органах местного самоуправления  Коломыцевского сельского поселения,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1.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Утвердить Порядок осуществления лицами, замещающими должности муниципальной службы в органах местного самоуправления Коломыцевского сельского поселения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2.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решение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исполнения настоящего решения оставляю за собой.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Коломыцевского сельского поселения                                    </w:t>
      </w:r>
      <w:proofErr w:type="spell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Коломыцевского сельского поселения </w:t>
      </w:r>
    </w:p>
    <w:p w:rsid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</w:t>
      </w:r>
    </w:p>
    <w:p w:rsidR="00337748" w:rsidRP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337748" w:rsidRP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14.07.2020 г. № 247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лицами, замещающими муниципальные должности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органах местного самоуправления Коломыцевского сельского поселения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осуществления лицами, замещающими муниципальные должности в органах местного самоуправления Коломыцевского сельского поселения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 участия в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  <w:proofErr w:type="gramEnd"/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Под лицом, замещающим муниципальную должность в органах местного самоуправления Коломыцевского сельского поселения Лискинского муниципального района Воронежской области,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депутат, член выборного органа местного самоуправления Коломыцевского сельского поселения Лискинского муниципального района Воронежской области, осуществляющий свои полномочия на постоянной основе;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- глава Коломыцевского сельского поселения Лискинского муниципального района Воронежской области (далее – лица, замещающие муниципальную должность).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II. Порядок назначения лиц, замещающих муниципальные должности, в органы управления и ревизионную комиссию коммерческих организаций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поселения.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Со дня принятия Советом народных депутатов поселения решения о его замене другим лицом, замещающим муниципальную должность, или иным уполномоченным лицом.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поселения в случае: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Принятия решения Советом народных депутатов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В других случаях, предусмотренных законодательством Российской Федерации.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народных депутатов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III. Порядок осуществления полномочий по представлению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безвозмездной основе интересов муниципального образования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органах управления и ревизионной комиссии коммерческой организации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поселения, для определения позиции, касающейся голосования по предлагаемым вопросам.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IV. Заключительные положения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4.2. Лицо, замещающее муниципальную должность,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Голосование лица, замещающего муниципальную должность, противоречащее решениям Совета народных депутатов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поселения.</w:t>
      </w: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</w:p>
    <w:p w:rsid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Коломыцевского сельского поселения </w:t>
      </w:r>
    </w:p>
    <w:p w:rsid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</w:t>
      </w:r>
    </w:p>
    <w:p w:rsidR="00337748" w:rsidRP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337748" w:rsidRPr="00337748" w:rsidRDefault="00337748" w:rsidP="00337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14.07.2020 г. № 247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лицами, замещающими должности муниципальной службы</w:t>
      </w:r>
    </w:p>
    <w:p w:rsidR="00337748" w:rsidRPr="00337748" w:rsidRDefault="00337748" w:rsidP="00337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органах местного самоуправления Коломыцевского сельского поселения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осуществления лицами, замещающими должности муниципальной службы в органах местного самоуправления Коломыцевского сельского поселения Лискинского муниципального района Воронежской области, от имени Коломыцевского сельского поселения Лискинского муниципального района Воронежской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 кодекса Российской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Порядок устанавливает процедуру представления  на безвозмездной основе лицами, замещающими должности муниципальной службы в органах местного самоуправления Коломыцевского сельского поселения Лискинского муниципального района Воронежской области 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– коммерческая организация) с целью осуществления от имени муниципального образования полномочий учредителя организации или управления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находящимися в муниципальной собственности акциями (долями участия в уставном капитале).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II. Порядок назначения муниципальных служащих в органы управления и ревизионную комиссию коммерческих организаций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Полномочия муниципальных служащих в органах управления коммерческих организаций прекращаются: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в случае: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В других случаях, предусмотренных законодательством Российской Федерации.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III. Порядок осуществления полномочий по представлению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безвозмездной основе интересов муниципального образования 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органах управления и ревизионной комиссии коммерческой организации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IV. Заключительные положения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муниципальной службе.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337748" w:rsidRP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Default="00046BBB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Default="00046BBB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Default="00046BBB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Default="00046BBB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7748" w:rsidRDefault="00337748" w:rsidP="00337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60113F" w:rsidRPr="0060113F" w:rsidRDefault="0060113F" w:rsidP="0060113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60113F" w:rsidRPr="0060113F" w:rsidRDefault="0060113F" w:rsidP="0060113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60113F" w:rsidRPr="0060113F" w:rsidRDefault="0060113F" w:rsidP="0060113F">
      <w:pPr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60113F" w:rsidRPr="0060113F" w:rsidRDefault="0060113F" w:rsidP="0060113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0113F" w:rsidRPr="0060113F" w:rsidRDefault="0060113F" w:rsidP="0060113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60113F" w:rsidRPr="0060113F" w:rsidRDefault="0060113F" w:rsidP="00601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14  июля  2020 г.  № 249</w:t>
      </w:r>
    </w:p>
    <w:p w:rsidR="0060113F" w:rsidRPr="0060113F" w:rsidRDefault="0060113F" w:rsidP="00601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Коломыцево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и дополнений                                           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  решение Совета народных депутатов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Коломыцевского сельского поселения от  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27.12.2019 г.  № 220 «О  бюджете 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Коломыцевского сельского поселения  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Лискинского муниципального района </w:t>
      </w:r>
    </w:p>
    <w:p w:rsidR="0060113F" w:rsidRPr="0060113F" w:rsidRDefault="0060113F" w:rsidP="006011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Воронежской области на  2020 год  и </w:t>
      </w: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плановый период 2021 и 2022 годов</w:t>
      </w:r>
      <w:proofErr w:type="gramStart"/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.»</w:t>
      </w:r>
      <w:proofErr w:type="gramEnd"/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proofErr w:type="gram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60113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правовогоположения</w:t>
      </w:r>
      <w:proofErr w:type="spellEnd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</w:t>
      </w:r>
      <w:proofErr w:type="gramEnd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 от 30.05.2016г. № 55,  в целях осуществления бюджетного процесса в Коломыцевском сельском поселении  Лискинского муниципального района Воронежской области в 2020 году  и плановом периоде 2021 и 2022 годов Совет народных депутатов Коломыцевского сельского поселения</w:t>
      </w:r>
      <w:proofErr w:type="gramEnd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Лискинского муниципального района Воронежской области </w:t>
      </w:r>
    </w:p>
    <w:p w:rsidR="0060113F" w:rsidRPr="0060113F" w:rsidRDefault="0060113F" w:rsidP="006011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И Л:</w:t>
      </w:r>
    </w:p>
    <w:p w:rsidR="0060113F" w:rsidRPr="0060113F" w:rsidRDefault="0060113F" w:rsidP="0060113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Совета народных депутатов  Коломыцевского  сельского  поселения от 27 декабря 2019 г. № 220 «О бюджете Коломыцевского сельского поселения Лискинского муниципального района Воронежской области  на 2020 год и плановый период 2021 и 2022 годов» (далее – Решение) следующие изменения и дополнения:</w:t>
      </w:r>
    </w:p>
    <w:p w:rsidR="0060113F" w:rsidRPr="0060113F" w:rsidRDefault="0060113F" w:rsidP="006011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1.1.Часть 1 статьи 1 Решения изложить в новой редакции:</w:t>
      </w:r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«1. Утвердить основные характеристики бюджета Коломыцевского сельского поселения Лискинского муниципального района Воронежской области на 2020 год: </w:t>
      </w:r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proofErr w:type="gramStart"/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>1) прогнозируемый общий объем доходов бюджета Коломыцевского сельского поселения Лискинского муниципального района Воронежской области в сумме 8626,9 тыс. рублей, в том числе объём безвозмездных поступлений в сумме 6905,9 тыс. рублей, из них объём межбюджетных трансфертов, получаемых из областного бюджета в сумме 154,1 тыс. рублей, из бюджета Лискинского муниципального района Воронежской области в сумме 6751,8 тыс. рублей;</w:t>
      </w:r>
      <w:proofErr w:type="gramEnd"/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в сумме 9184,9 тыс. рублей; </w:t>
      </w:r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в сумме 558,0 тыс. рублей; </w:t>
      </w:r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</w:t>
      </w:r>
      <w:proofErr w:type="gramStart"/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>.»;</w:t>
      </w:r>
      <w:proofErr w:type="gramEnd"/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1.2. </w:t>
      </w: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1 статьи 9 Решения изложить в следующей редакции: «Настоящее Решение вступает в силу с 1 января 2020 года»;</w:t>
      </w:r>
    </w:p>
    <w:p w:rsidR="0060113F" w:rsidRPr="0060113F" w:rsidRDefault="0060113F" w:rsidP="0060113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1.3. Приложение №1 «Источники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2020 год и на плановый период 2021 и 2022 годов» изложить в новой редакции, согласно приложению № 1 к настоящему Решению;</w:t>
      </w: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1.4. Приложение № 2  « Поступление доходов  в бюджет Коломыцевского сельского поселения по кодам видов доходов, подвидов доходов на 2020 год и плановый период 2021 -2022 годы» изложить в новой редакции, согласно приложению № 2 к настоящему Решению;</w:t>
      </w: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1.5. Приложение № 6 «Ведомственная структура расходов бюджета Коломыцевского сельского поселения Лискинского муниципального района Воронежской </w:t>
      </w:r>
      <w:proofErr w:type="spell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областина</w:t>
      </w:r>
      <w:proofErr w:type="spellEnd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год и плановый период 2021-2022 годы» изложить в новой редакции, согласно  приложению № 3 к настоящему Решению;</w:t>
      </w:r>
    </w:p>
    <w:p w:rsidR="0060113F" w:rsidRPr="0060113F" w:rsidRDefault="0060113F" w:rsidP="00601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1.6.  Приложение № 7 «</w:t>
      </w: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Распределение бюджетных ассигнований по разделам,  подразделам, целевым статьям (муниципальным программам поселения и непрограммным направлениям деятельности), группам видов расходов бюджета</w:t>
      </w: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Коломыцевского сельского поселения Лискинского муниципального района Воронежской области на 2020 год и плановый период 2021и 2022 годов» изложить в новой редакции, согласно  приложению № 4 к настоящему Решению;</w:t>
      </w: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1.7.  </w:t>
      </w:r>
      <w:proofErr w:type="gram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2020 год и на плановый период 2021 и 2022 годов» изложить в новой редакции, согласно  приложению № 5 к настоящему Решению;</w:t>
      </w:r>
      <w:proofErr w:type="gramEnd"/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1.8. Приложение № 9 </w:t>
      </w: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Pr="006011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Дорожный фонд </w:t>
      </w: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 Лискинского муниципального района на 2020 год и на плановый период 2021 и 2022 годов» изложить в новой редакции, согласно  приложению № 6 к настоящему Решению.</w:t>
      </w: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 Настоящее  Решение вступает в силу с момента его официального опубликования в установленном Уставом Коломыцевского </w:t>
      </w: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Лискинского муниципального района порядке</w:t>
      </w: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0113F" w:rsidRPr="0060113F" w:rsidRDefault="0060113F" w:rsidP="0060113F">
      <w:pPr>
        <w:tabs>
          <w:tab w:val="left" w:pos="30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30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7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Коломыцевского сельского поселения                            </w:t>
      </w:r>
      <w:proofErr w:type="spell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4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4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народных депутатов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14.07. 2020 года 249</w:t>
      </w:r>
    </w:p>
    <w:p w:rsidR="0060113F" w:rsidRPr="0060113F" w:rsidRDefault="0060113F" w:rsidP="0060113F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Лискинского муниципального района</w:t>
      </w:r>
    </w:p>
    <w:p w:rsidR="0060113F" w:rsidRPr="0060113F" w:rsidRDefault="0060113F" w:rsidP="0060113F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27 декабря 2019 г. № 220 «О   бюджете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 поселения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Лискинского муниципального района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2020 год и</w:t>
      </w:r>
    </w:p>
    <w:p w:rsidR="0060113F" w:rsidRPr="0060113F" w:rsidRDefault="0060113F" w:rsidP="0060113F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2021 и 2022 годов»</w:t>
      </w: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внутреннего финансирования дефицита  бюджета</w:t>
      </w: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Коломыцевского сельского поселения Лискинского муниципального района</w:t>
      </w: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Воронежской области</w:t>
      </w:r>
    </w:p>
    <w:p w:rsidR="0060113F" w:rsidRPr="0060113F" w:rsidRDefault="0060113F" w:rsidP="006011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 2020 год и на плановый период 2021 и 2022 годов</w:t>
      </w:r>
    </w:p>
    <w:p w:rsidR="0060113F" w:rsidRPr="0060113F" w:rsidRDefault="0060113F" w:rsidP="006011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(тыс. рублей)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60113F" w:rsidRPr="0060113F" w:rsidTr="00AD48C0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                                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</w:tr>
    </w:tbl>
    <w:p w:rsidR="0060113F" w:rsidRPr="0060113F" w:rsidRDefault="0060113F" w:rsidP="0060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60113F" w:rsidRPr="0060113F" w:rsidTr="00AD48C0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0113F" w:rsidRPr="0060113F" w:rsidTr="00AD48C0">
        <w:trPr>
          <w:trHeight w:val="780"/>
        </w:trPr>
        <w:tc>
          <w:tcPr>
            <w:tcW w:w="58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60113F" w:rsidRPr="0060113F" w:rsidTr="00AD48C0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0113F" w:rsidRPr="0060113F" w:rsidTr="00AD48C0">
        <w:trPr>
          <w:trHeight w:val="1063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trHeight w:val="1170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trHeight w:val="1185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60113F" w:rsidRPr="0060113F" w:rsidTr="00AD48C0">
        <w:trPr>
          <w:trHeight w:val="1185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60113F" w:rsidRPr="0060113F" w:rsidTr="00AD48C0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60113F" w:rsidRPr="0060113F" w:rsidTr="00AD48C0">
        <w:trPr>
          <w:trHeight w:val="420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-8726,9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-7944,0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-8173,7</w:t>
            </w:r>
          </w:p>
        </w:tc>
      </w:tr>
      <w:tr w:rsidR="0060113F" w:rsidRPr="0060113F" w:rsidTr="00AD48C0">
        <w:trPr>
          <w:trHeight w:val="653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-8726,9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-7944,0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-8173,7</w:t>
            </w:r>
          </w:p>
        </w:tc>
      </w:tr>
      <w:tr w:rsidR="0060113F" w:rsidRPr="0060113F" w:rsidTr="00AD48C0">
        <w:trPr>
          <w:trHeight w:val="375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9284,9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7977,0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8206,7</w:t>
            </w:r>
          </w:p>
        </w:tc>
      </w:tr>
      <w:tr w:rsidR="0060113F" w:rsidRPr="0060113F" w:rsidTr="00AD48C0">
        <w:trPr>
          <w:trHeight w:val="795"/>
        </w:trPr>
        <w:tc>
          <w:tcPr>
            <w:tcW w:w="582" w:type="dxa"/>
            <w:vMerge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9284,9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7977,0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8206,7</w:t>
            </w:r>
          </w:p>
        </w:tc>
      </w:tr>
      <w:tr w:rsidR="0060113F" w:rsidRPr="0060113F" w:rsidTr="00AD48C0">
        <w:trPr>
          <w:trHeight w:val="795"/>
        </w:trPr>
        <w:tc>
          <w:tcPr>
            <w:tcW w:w="582" w:type="dxa"/>
            <w:vMerge w:val="restart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0113F" w:rsidRPr="0060113F" w:rsidTr="00AD48C0">
        <w:trPr>
          <w:trHeight w:val="795"/>
        </w:trPr>
        <w:tc>
          <w:tcPr>
            <w:tcW w:w="582" w:type="dxa"/>
            <w:vMerge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113F" w:rsidRPr="0060113F" w:rsidTr="00AD48C0">
        <w:trPr>
          <w:trHeight w:val="795"/>
        </w:trPr>
        <w:tc>
          <w:tcPr>
            <w:tcW w:w="582" w:type="dxa"/>
            <w:vMerge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народных депутатов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60113F" w:rsidRPr="0060113F" w:rsidRDefault="0060113F" w:rsidP="0060113F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14.07. 2020 года № 249</w:t>
      </w:r>
    </w:p>
    <w:p w:rsidR="0060113F" w:rsidRPr="0060113F" w:rsidRDefault="0060113F" w:rsidP="0060113F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Совета  народных депутатов 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Лискинского муниципального района</w:t>
      </w:r>
    </w:p>
    <w:p w:rsidR="0060113F" w:rsidRPr="0060113F" w:rsidRDefault="0060113F" w:rsidP="0060113F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27 декабря 2019 г. № 220 «О   бюджете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 поселения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Лискинского муниципального района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2020 год и</w:t>
      </w:r>
    </w:p>
    <w:p w:rsidR="0060113F" w:rsidRPr="0060113F" w:rsidRDefault="0060113F" w:rsidP="0060113F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плановый период 2021 и 2022 годов»</w:t>
      </w:r>
    </w:p>
    <w:p w:rsidR="0060113F" w:rsidRPr="0060113F" w:rsidRDefault="0060113F" w:rsidP="0060113F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Поступление доходов в бюджет Коломыцевского сельского поселения </w:t>
      </w:r>
    </w:p>
    <w:p w:rsidR="0060113F" w:rsidRPr="0060113F" w:rsidRDefault="0060113F" w:rsidP="0060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кодам видов доходов, подвидов доходов </w:t>
      </w:r>
    </w:p>
    <w:p w:rsidR="0060113F" w:rsidRPr="0060113F" w:rsidRDefault="0060113F" w:rsidP="0060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2020  год и плановый период 2021-2022годы</w:t>
      </w:r>
    </w:p>
    <w:p w:rsidR="0060113F" w:rsidRPr="0060113F" w:rsidRDefault="0060113F" w:rsidP="0060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60113F" w:rsidRPr="0060113F" w:rsidTr="00AD48C0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Сумма   2020 год</w:t>
            </w:r>
          </w:p>
        </w:tc>
        <w:tc>
          <w:tcPr>
            <w:tcW w:w="1134" w:type="dxa"/>
            <w:vMerge w:val="restart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Сумма 2021год</w:t>
            </w:r>
          </w:p>
        </w:tc>
        <w:tc>
          <w:tcPr>
            <w:tcW w:w="1134" w:type="dxa"/>
            <w:vMerge w:val="restart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Сумма 2022 год</w:t>
            </w:r>
          </w:p>
        </w:tc>
      </w:tr>
      <w:tr w:rsidR="0060113F" w:rsidRPr="0060113F" w:rsidTr="00AD48C0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000 8 50 00000 00 0000 000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8626,9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7844,0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8073,7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1758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0001 05 03010 01 0000 110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000 1 06 01000 10 0000 110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gridAfter w:val="2"/>
          <w:wAfter w:w="14811" w:type="dxa"/>
          <w:trHeight w:val="1771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0113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0113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98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0113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513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0113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000  1 13 01990 00 0000 130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  <w:trHeight w:val="1569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000 1 14 06025 10 0000 430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6905,9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6115,0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6315,7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6905,9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6115,0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6315,7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1429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1429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5484,1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4692,7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4802,7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2143,5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2360,4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2543,6</w:t>
            </w:r>
          </w:p>
        </w:tc>
      </w:tr>
      <w:tr w:rsidR="0060113F" w:rsidRPr="0060113F" w:rsidTr="00AD48C0">
        <w:trPr>
          <w:gridAfter w:val="2"/>
          <w:wAfter w:w="14811" w:type="dxa"/>
        </w:trPr>
        <w:tc>
          <w:tcPr>
            <w:tcW w:w="3085" w:type="dxa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000 202 4999910 000 150</w:t>
            </w:r>
          </w:p>
        </w:tc>
        <w:tc>
          <w:tcPr>
            <w:tcW w:w="3402" w:type="dxa"/>
          </w:tcPr>
          <w:p w:rsidR="0060113F" w:rsidRPr="0060113F" w:rsidRDefault="0060113F" w:rsidP="00601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3340,6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2332,3</w:t>
            </w:r>
          </w:p>
        </w:tc>
        <w:tc>
          <w:tcPr>
            <w:tcW w:w="1134" w:type="dxa"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2259,1</w:t>
            </w:r>
          </w:p>
        </w:tc>
      </w:tr>
    </w:tbl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народных депутатов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Воронежской области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14.07. 2020 года № 249</w:t>
      </w:r>
    </w:p>
    <w:p w:rsidR="0060113F" w:rsidRPr="0060113F" w:rsidRDefault="0060113F" w:rsidP="006011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  сельского   поселения    Лискинского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 27.12.2019 г.  №220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 бюджете Коломыцевского  сельского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поселения  Лискинского муниципального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Воронежской области на  2020 год  и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плановый период 2021 и 2022 годов</w:t>
      </w:r>
      <w:proofErr w:type="gramStart"/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</w:t>
      </w:r>
      <w:proofErr w:type="gramEnd"/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9981"/>
      </w:tblGrid>
      <w:tr w:rsidR="0060113F" w:rsidRPr="0060113F" w:rsidTr="00AD48C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 структура  расходов бюджета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Коломыцевского сельского поселения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60113F" w:rsidRPr="0060113F" w:rsidRDefault="0060113F" w:rsidP="00601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2020  год и плановый период 2021-2022годы</w:t>
            </w:r>
          </w:p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0113F" w:rsidRPr="0060113F" w:rsidRDefault="0060113F" w:rsidP="006011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(тыс. руб.)</w:t>
            </w:r>
          </w:p>
        </w:tc>
      </w:tr>
    </w:tbl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902"/>
        <w:gridCol w:w="692"/>
        <w:gridCol w:w="456"/>
        <w:gridCol w:w="623"/>
        <w:gridCol w:w="1416"/>
        <w:gridCol w:w="516"/>
        <w:gridCol w:w="831"/>
        <w:gridCol w:w="824"/>
        <w:gridCol w:w="847"/>
      </w:tblGrid>
      <w:tr w:rsidR="0060113F" w:rsidRPr="0060113F" w:rsidTr="00AD48C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1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B11"/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bookmarkEnd w:id="1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C11"/>
            <w:proofErr w:type="spellStart"/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bookmarkEnd w:id="2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D11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E11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bookmarkEnd w:id="4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  2020</w:t>
            </w: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2021</w:t>
            </w: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2022 год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5" w:name="RANGE!A12"/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7830,7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7830,7</w:t>
            </w:r>
          </w:p>
        </w:tc>
      </w:tr>
      <w:tr w:rsidR="0060113F" w:rsidRPr="0060113F" w:rsidTr="00AD48C0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3131,8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«Функционирование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810,8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</w:t>
            </w:r>
          </w:p>
        </w:tc>
      </w:tr>
      <w:tr w:rsidR="0060113F" w:rsidRPr="0060113F" w:rsidTr="00AD48C0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программные расходы органов местного самоуправления,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в рамках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подведомственных учреждений (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работ и услуг для муниципальных нужд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</w:tr>
      <w:tr w:rsidR="0060113F" w:rsidRPr="0060113F" w:rsidTr="00AD48C0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2196,6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(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работ и услуг для муниципальных нужд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«Развитие и поддержка малого и среднего предпринимательства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743,3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«Реконструкция сетей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1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Расходыпо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нужд) (</w:t>
            </w: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софинансироваие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 обеспечение  развития на территории поселения физической культуры и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народных депутатов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Воронежской области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14.07. 2020 года № 249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  сельского   поселения    Лискинского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 27.12.2019 г.  №220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 бюджете Коломыцевского  сельского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поселения  Лискинского муниципального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Воронежской области на  2020 год  и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плановый период 2021 и 2022 годов</w:t>
      </w:r>
      <w:proofErr w:type="gramStart"/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</w:t>
      </w:r>
      <w:proofErr w:type="gramEnd"/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8740"/>
      </w:tblGrid>
      <w:tr w:rsidR="0060113F" w:rsidRPr="0060113F" w:rsidTr="00AD48C0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направлениям деятельности), группам видов расходов бюджета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Коломыцевского сельского поселения</w:t>
            </w:r>
          </w:p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Лискинского муниципального района Воронежской области                      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2020 год и плановый период 2021 и 2022 годов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(тыс. рублей)</w:t>
      </w: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7" w:type="dxa"/>
        <w:tblInd w:w="-318" w:type="dxa"/>
        <w:tblLook w:val="0000" w:firstRow="0" w:lastRow="0" w:firstColumn="0" w:lastColumn="0" w:noHBand="0" w:noVBand="0"/>
      </w:tblPr>
      <w:tblGrid>
        <w:gridCol w:w="3728"/>
        <w:gridCol w:w="667"/>
        <w:gridCol w:w="623"/>
        <w:gridCol w:w="1416"/>
        <w:gridCol w:w="516"/>
        <w:gridCol w:w="996"/>
        <w:gridCol w:w="959"/>
        <w:gridCol w:w="1082"/>
      </w:tblGrid>
      <w:tr w:rsidR="0060113F" w:rsidRPr="0060113F" w:rsidTr="00AD48C0">
        <w:trPr>
          <w:cantSplit/>
          <w:trHeight w:val="1048"/>
          <w:tblHeader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  2020</w:t>
            </w: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2021</w:t>
            </w: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2022 год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7830,7</w:t>
            </w:r>
          </w:p>
        </w:tc>
      </w:tr>
      <w:tr w:rsidR="0060113F" w:rsidRPr="0060113F" w:rsidTr="00AD48C0">
        <w:trPr>
          <w:cantSplit/>
          <w:trHeight w:val="607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3131,8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«Функционирование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31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(выборные)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246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810,8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</w:t>
            </w:r>
          </w:p>
        </w:tc>
      </w:tr>
      <w:tr w:rsidR="0060113F" w:rsidRPr="0060113F" w:rsidTr="00AD48C0">
        <w:trPr>
          <w:cantSplit/>
          <w:trHeight w:val="61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</w:t>
            </w:r>
          </w:p>
        </w:tc>
      </w:tr>
      <w:tr w:rsidR="0060113F" w:rsidRPr="0060113F" w:rsidTr="00AD48C0">
        <w:trPr>
          <w:cantSplit/>
          <w:trHeight w:val="178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программные расходы органов местного самоуправления,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107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978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976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в рамках (Расходы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работ и услуг для муниципальных нужд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</w:tr>
      <w:tr w:rsidR="0060113F" w:rsidRPr="0060113F" w:rsidTr="00AD48C0">
        <w:trPr>
          <w:cantSplit/>
          <w:trHeight w:val="888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1578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12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92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12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12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2196,6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       «Ремонт и содержание муниципальных дорог»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499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(ремонт дорог) (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 работ и услуг для муниципальных нужд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521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1577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127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140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«Развитие и поддержка малого и среднего предпринимательства 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743,3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«Реконструкция сетей объектов водоснабжения»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1862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уличного освещения»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Расходыпо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spellStart"/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софинансироваие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(Расходы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 (Расходы на выплаты персоналу)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 обеспечение  развития на территории поселения физической культуры и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(Закупка товаров работ и услуг для муниципальных нужд)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народных депутатов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Воронежской области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14.07.2020 года № 249</w:t>
      </w:r>
    </w:p>
    <w:p w:rsidR="0060113F" w:rsidRPr="0060113F" w:rsidRDefault="0060113F" w:rsidP="006011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  сельского   поселения    Лискинского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 27.12.2019 г.  №220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 бюджете Коломыцевского  сельского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поселения  Лискинского муниципального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Воронежской области на  2020 год  и </w:t>
      </w:r>
    </w:p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плановый период 2021 и 2022 годов</w:t>
      </w:r>
      <w:proofErr w:type="gramStart"/>
      <w:r w:rsidRPr="006011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</w:t>
      </w:r>
      <w:proofErr w:type="gramEnd"/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243"/>
        <w:gridCol w:w="223"/>
        <w:gridCol w:w="1128"/>
        <w:gridCol w:w="1147"/>
        <w:gridCol w:w="1578"/>
        <w:gridCol w:w="1105"/>
      </w:tblGrid>
      <w:tr w:rsidR="0060113F" w:rsidRPr="0060113F" w:rsidTr="00AD48C0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(муниципальным программам и  непрограммным  направлениям</w:t>
            </w:r>
            <w:proofErr w:type="gramEnd"/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деятельности), группам видов расходов, разделам, подразделам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классификации расходов бюджета Коломыцевского сельского поселения</w:t>
            </w:r>
          </w:p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Лискинского муниципального района Воронежской области                      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2020 год и плановый период 2021 и 2022 годов </w:t>
            </w: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13F" w:rsidRPr="0060113F" w:rsidRDefault="0060113F" w:rsidP="00601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</w:t>
      </w:r>
      <w:proofErr w:type="spell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516"/>
        <w:gridCol w:w="416"/>
        <w:gridCol w:w="461"/>
        <w:gridCol w:w="970"/>
        <w:gridCol w:w="938"/>
        <w:gridCol w:w="1046"/>
      </w:tblGrid>
      <w:tr w:rsidR="0060113F" w:rsidRPr="0060113F" w:rsidTr="00AD48C0">
        <w:trPr>
          <w:cantSplit/>
          <w:trHeight w:val="81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  2020</w:t>
            </w: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2021</w:t>
            </w: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2022 год</w:t>
            </w:r>
          </w:p>
        </w:tc>
      </w:tr>
      <w:tr w:rsidR="0060113F" w:rsidRPr="0060113F" w:rsidTr="00AD48C0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7830,7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46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46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1372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культуры»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398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398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60113F" w:rsidRPr="0060113F" w:rsidTr="00AD48C0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60113F" w:rsidRPr="0060113F" w:rsidTr="00AD48C0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3518,8</w:t>
            </w:r>
          </w:p>
        </w:tc>
      </w:tr>
      <w:tr w:rsidR="0060113F" w:rsidRPr="0060113F" w:rsidTr="00AD48C0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 (выборные)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18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</w:tr>
      <w:tr w:rsidR="0060113F" w:rsidRPr="0060113F" w:rsidTr="00AD48C0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2.2.Подпрограмма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689,8</w:t>
            </w:r>
          </w:p>
        </w:tc>
      </w:tr>
      <w:tr w:rsidR="0060113F" w:rsidRPr="0060113F" w:rsidTr="00AD48C0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местной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689,8</w:t>
            </w:r>
          </w:p>
        </w:tc>
      </w:tr>
      <w:tr w:rsidR="0060113F" w:rsidRPr="0060113F" w:rsidTr="00AD48C0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местных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</w:tr>
      <w:tr w:rsidR="0060113F" w:rsidRPr="0060113F" w:rsidTr="00AD48C0">
        <w:trPr>
          <w:cantSplit/>
          <w:trHeight w:val="10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   чрезвычайных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60113F" w:rsidRPr="0060113F" w:rsidTr="00AD48C0">
        <w:trPr>
          <w:cantSplit/>
          <w:trHeight w:val="17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60113F" w:rsidRPr="0060113F" w:rsidTr="00AD48C0">
        <w:trPr>
          <w:cantSplit/>
          <w:trHeight w:val="2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2.7. Подпрограмма «Обеспечение условий для развития на территории поселения физической культуры и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массового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2938,9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в границах поселения (ремонт дорог 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3.2.Подпрограмма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335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335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 работ и услуг для муниципальных нужд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организации  уличного освещения  (Закупка товаров работ и услуг для муниципальных нужд</w:t>
            </w:r>
            <w:proofErr w:type="gram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spellStart"/>
            <w:proofErr w:type="gram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3.4.Подпрограмма «Повышение </w:t>
            </w:r>
            <w:r w:rsidRPr="00601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3.6.Подпрограмма «Реконструкция сетей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 «Осуществление муниципального земельного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земельного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3.9.Подпрограмма «Создание условий для обеспечения качественными услугами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реализации функций в сфере обеспечения проведения капитального ремонта жилых домов</w:t>
            </w: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условий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tabs>
                <w:tab w:val="left" w:pos="371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«Развитие и поддержка малого и среднего предпринимательства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других расходных обязательств (Закупка товаров работ и услуг для </w:t>
            </w:r>
            <w:proofErr w:type="spellStart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муниципальныхнужд</w:t>
            </w:r>
            <w:proofErr w:type="spellEnd"/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программные расходы органов местного самоуправления, расходы на обеспечение деятельности избирательной комиссии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13F" w:rsidRPr="0060113F" w:rsidRDefault="0060113F" w:rsidP="006011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 Совета народных депутатов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Лискинского муниципального района Воронежской области </w:t>
      </w:r>
    </w:p>
    <w:p w:rsidR="0060113F" w:rsidRPr="0060113F" w:rsidRDefault="0060113F" w:rsidP="0060113F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14.07  2020 года № 249</w:t>
      </w:r>
    </w:p>
    <w:tbl>
      <w:tblPr>
        <w:tblW w:w="4849" w:type="pct"/>
        <w:tblLook w:val="04A0" w:firstRow="1" w:lastRow="0" w:firstColumn="1" w:lastColumn="0" w:noHBand="0" w:noVBand="1"/>
      </w:tblPr>
      <w:tblGrid>
        <w:gridCol w:w="9282"/>
      </w:tblGrid>
      <w:tr w:rsidR="0060113F" w:rsidRPr="0060113F" w:rsidTr="00AD48C0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60113F" w:rsidRPr="0060113F" w:rsidRDefault="0060113F" w:rsidP="0060113F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к Решению Совета  народных депутатов  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 сельского поселения</w:t>
            </w:r>
          </w:p>
          <w:p w:rsidR="0060113F" w:rsidRPr="0060113F" w:rsidRDefault="0060113F" w:rsidP="0060113F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Лискинского муниципального района</w:t>
            </w:r>
          </w:p>
          <w:p w:rsidR="0060113F" w:rsidRPr="0060113F" w:rsidRDefault="0060113F" w:rsidP="0060113F">
            <w:pPr>
              <w:tabs>
                <w:tab w:val="left" w:pos="3180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27 декабря 2019 г. № 220 «О   бюджете 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 сельского  поселения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Лискинского муниципального района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на 2020 год и</w:t>
            </w:r>
          </w:p>
          <w:p w:rsidR="0060113F" w:rsidRPr="0060113F" w:rsidRDefault="0060113F" w:rsidP="0060113F">
            <w:pPr>
              <w:tabs>
                <w:tab w:val="left" w:pos="6270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на плановый период 2021 и 2022 годов»</w:t>
            </w:r>
          </w:p>
          <w:p w:rsidR="0060113F" w:rsidRPr="0060113F" w:rsidRDefault="0060113F" w:rsidP="00601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13F" w:rsidRPr="0060113F" w:rsidRDefault="0060113F" w:rsidP="0060113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Дорожный фонд Коломыцевского сельского  поселения                                                                                         Лискинского муниципального района на 2020 год и на плановый период 2021 и 2022 годов                                                                               </w:t>
      </w:r>
    </w:p>
    <w:p w:rsidR="0060113F" w:rsidRPr="0060113F" w:rsidRDefault="0060113F" w:rsidP="0060113F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60113F" w:rsidRPr="0060113F" w:rsidRDefault="0060113F" w:rsidP="0060113F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60113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(тыс. рублей)</w:t>
      </w:r>
    </w:p>
    <w:p w:rsidR="0060113F" w:rsidRPr="0060113F" w:rsidRDefault="0060113F" w:rsidP="0060113F">
      <w:pPr>
        <w:spacing w:after="0" w:line="240" w:lineRule="auto"/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277"/>
        <w:gridCol w:w="903"/>
        <w:gridCol w:w="903"/>
      </w:tblGrid>
      <w:tr w:rsidR="0060113F" w:rsidRPr="0060113F" w:rsidTr="00AD48C0">
        <w:trPr>
          <w:trHeight w:val="517"/>
        </w:trPr>
        <w:tc>
          <w:tcPr>
            <w:tcW w:w="6488" w:type="dxa"/>
          </w:tcPr>
          <w:p w:rsidR="0060113F" w:rsidRPr="0060113F" w:rsidRDefault="0060113F" w:rsidP="0060113F">
            <w:pPr>
              <w:spacing w:after="0" w:line="240" w:lineRule="auto"/>
              <w:ind w:right="567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0113F" w:rsidRPr="0060113F" w:rsidRDefault="0060113F" w:rsidP="0060113F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59" w:type="dxa"/>
            <w:gridSpan w:val="3"/>
          </w:tcPr>
          <w:p w:rsidR="0060113F" w:rsidRPr="0060113F" w:rsidRDefault="0060113F" w:rsidP="0060113F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Объем бюджетных </w:t>
            </w: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br/>
            </w:r>
            <w:r w:rsidRPr="006011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ассигнований</w:t>
            </w: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37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на 2020 год и плановый период 2021 и 2022 годов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«Ремонт и содержание муниципальных дорог»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2144,6</w:t>
            </w:r>
          </w:p>
        </w:tc>
      </w:tr>
      <w:tr w:rsidR="0060113F" w:rsidRPr="0060113F" w:rsidTr="00AD4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113F" w:rsidRPr="0060113F" w:rsidRDefault="0060113F" w:rsidP="0060113F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(ремонт дорог) в границах поселения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13F" w:rsidRPr="0060113F" w:rsidRDefault="0060113F" w:rsidP="0060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2144,6</w:t>
            </w:r>
          </w:p>
        </w:tc>
      </w:tr>
    </w:tbl>
    <w:p w:rsidR="0060113F" w:rsidRPr="0060113F" w:rsidRDefault="0060113F" w:rsidP="00601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69C" w:rsidRDefault="0025669C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08  июля    2020 года           № 39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Коломыцево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Коломыцевского сельского поселения Лискинского муниципального района Воронежской области от 28.06.2019 г.            № 67 «Об утверждении Порядка формирования, ведения, обязательного опубликования перечня муниципального имущества Коломыцевского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 владение и (или) в  пользование субъектам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малого и среднего предпринимательства и организациям, образующим инфраструктуру поддержки субъектов малого и  среднего предпринимательства»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статьей 18 Федерального закона от 24.07.2007 №209-ФЗ «О развитии малого и среднего предпринимательства в Российской Федерации», Законом Воронежской области от 12.03.2008 №4-ОЗ «О развитии малого и среднего предпринимательства в Воронежской области», Уставом Коломыцевского сельского поселения Лискинского муниципального района Воронежской области</w:t>
      </w:r>
      <w:proofErr w:type="gramEnd"/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постановление администрации Коломыцевского сельского поселения Лискинского муниципального района Воронежской области от 28.06.2019 № 67 «Об утверждении Порядка формирования, ведения, обязательного опубликования перечня муниципального имущества Коломыцевского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 (далее – Постановление) следующие изменения: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наименовании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Постановления, пункте 1 Постановления после слов «за исключением» дополнить словами «права хозяйственного ведения, права оперативного управления, а также».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Порядок формирования, ведения, обязательного опубликования перечня муниципального имущества Коломыцевского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Порядок), утвержденный постановлением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Коломыцевского сельского поселения Лискинского муниципального района Воронежской области от 28.06.2019 № 67, следующие изменения и дополнения: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 В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наименовании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Порядка, пункте 1 раздела I, подпункте а) пункта 3 раздела II Порядка после слов «за исключением» дополнить словами «права хозяйственного ведения, права оперативного управления, а также».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Пункт 2 раздела II Порядка изложить в следующей редакции: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Перечень включается движимое и недвижимое муниципальное имущество Коломыцевского сельского поселения Лискинского муниципального района Воронежской области,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сооружения, нежилые помещения, оборудование, машины, механизмы, установки, транспортные средства, инвентарь, инструменты (далее - Муниципальное имущество).».</w:t>
      </w:r>
      <w:proofErr w:type="gramEnd"/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собой.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Коломыцевского сельского поселения                               </w:t>
      </w:r>
      <w:proofErr w:type="spell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046BBB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13  июля    2020 года           № 40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Коломыцево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создании комиссии по установлению стажа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службы лицам, замещающим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муниципальной службы в администрации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 Лискинского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 области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Федеральным законом от 02.03.2007 № 25-ФЗ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муниципальной службе в Российской Федерации», Закон Воронежской  области от 27.12.2012 г. №196-ОЗ «О порядке исчисления стажа муниципальной службы муниципальных служащих в Воронежской области»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Уставом Коломыцевского  сельского поселения Лискинского муниципального района: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 Создать комиссию по установлению стажа муниципальной службы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лицам, замещающим должности муниципальной службы в администрации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 Лискинского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Воронежской  области, и утвердить её состав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 настоящему постановлению.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Настоящее Постановление вступает в силу со дня его официального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опубликования  и подлежит размещению на официальном   сайте Коломыцевского сельского поселения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телекоммуникационной сети «Интернет».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Коломыцевского сельского поселения                            </w:t>
      </w:r>
      <w:proofErr w:type="spell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</w:t>
      </w:r>
    </w:p>
    <w:p w:rsidR="00046BBB" w:rsidRPr="00337748" w:rsidRDefault="00046BBB" w:rsidP="00046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46BBB" w:rsidRPr="00337748" w:rsidRDefault="00046BBB" w:rsidP="00046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046BBB" w:rsidRPr="00337748" w:rsidRDefault="00046BBB" w:rsidP="00046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13.07.2020 г. № 40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комиссии по установлению стажа муниципальной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лицам, замещающим должности муниципальной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в администрации Коломыцевского сельского поселения</w:t>
      </w:r>
    </w:p>
    <w:p w:rsidR="00046BBB" w:rsidRPr="00337748" w:rsidRDefault="00046BBB" w:rsidP="0004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 Воронежской  области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   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Жижерина</w:t>
      </w:r>
      <w:proofErr w:type="spell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Екатерина Петровна - председатель  первичной профсоюзной организации, специалист 1 категории администрации Коломыцевского сельского поселения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Величко Ирина Николаевна - заместитель председателя Совета народных депутатов Коломыцевского сельского поселения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Костыркина</w:t>
      </w:r>
      <w:proofErr w:type="spell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Ивановна – инспектор по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военно-учетной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работе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Андросова Марина Вячеславовна – главный специалист 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юридической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службы администрации Лискинского муниципального района (по согласованию);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Минина Виктория Владимировна – директор МКУ «Сервис»;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Горелова Ольга Ивановн</w:t>
      </w:r>
      <w:proofErr w:type="gramStart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Pr="0033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 Совета народных депутатов Коломыцевского сельского поселения.</w:t>
      </w: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BBB" w:rsidRPr="00337748" w:rsidRDefault="00046BBB" w:rsidP="0004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Pr="00BA7C5A" w:rsidRDefault="00BA7C5A" w:rsidP="00BA7C5A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BA7C5A" w:rsidRPr="00BA7C5A" w:rsidRDefault="00BA7C5A" w:rsidP="00BA7C5A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C5A" w:rsidRPr="00BA7C5A" w:rsidRDefault="00BA7C5A" w:rsidP="00BA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92711</wp:posOffset>
                </wp:positionV>
                <wp:extent cx="6305550" cy="12573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C5A" w:rsidRDefault="00BA7C5A" w:rsidP="00BA7C5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Коломыцевского сельского поселения                     </w:t>
                            </w:r>
                          </w:p>
                          <w:p w:rsidR="00BA7C5A" w:rsidRDefault="00BA7C5A" w:rsidP="00BA7C5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Лискинского муниципального  района Воронежской области</w:t>
                            </w:r>
                          </w:p>
                          <w:p w:rsidR="00BA7C5A" w:rsidRDefault="00BA7C5A" w:rsidP="00BA7C5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397921 Воронежская область, Лискинский район,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оломыцево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ул.Кольцова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д.1 а . </w:t>
                            </w:r>
                          </w:p>
                          <w:p w:rsidR="00BA7C5A" w:rsidRDefault="00BA7C5A" w:rsidP="00BA7C5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Тел: 8(47391) 94-1-94</w:t>
                            </w:r>
                          </w:p>
                          <w:p w:rsidR="00BA7C5A" w:rsidRPr="00E974AB" w:rsidRDefault="00BA7C5A" w:rsidP="00BA7C5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Объем 45 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 5; бесплатно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A7C5A" w:rsidRDefault="00BA7C5A" w:rsidP="00BA7C5A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-19.8pt;margin-top:7.3pt;width:496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" strokeweight="4.5pt">
                <v:stroke linestyle="thickThin"/>
                <v:textbox>
                  <w:txbxContent>
                    <w:p w:rsidR="00BA7C5A" w:rsidRDefault="00BA7C5A" w:rsidP="00BA7C5A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</w:rPr>
                      </w:pPr>
                      <w:bookmarkStart w:id="7" w:name="_GoBack"/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Коломыцевского сельского поселения                     </w:t>
                      </w:r>
                    </w:p>
                    <w:p w:rsidR="00BA7C5A" w:rsidRDefault="00BA7C5A" w:rsidP="00BA7C5A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 Лискинского муниципального  района Воронежской области</w:t>
                      </w:r>
                    </w:p>
                    <w:p w:rsidR="00BA7C5A" w:rsidRDefault="00BA7C5A" w:rsidP="00BA7C5A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 397921 Воронежская область, Лискинский район,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с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.К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оломыцево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ул.Кольцова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д.1 а . </w:t>
                      </w:r>
                    </w:p>
                    <w:p w:rsidR="00BA7C5A" w:rsidRDefault="00BA7C5A" w:rsidP="00BA7C5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Тел: 8(47391) 94-1-94</w:t>
                      </w:r>
                    </w:p>
                    <w:p w:rsidR="00BA7C5A" w:rsidRPr="00E974AB" w:rsidRDefault="00BA7C5A" w:rsidP="00BA7C5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Объем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45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.п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>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 5; бесплатно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A7C5A" w:rsidRDefault="00BA7C5A" w:rsidP="00BA7C5A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 </w:t>
                      </w:r>
                      <w:bookmarkEnd w:id="7"/>
                    </w:p>
                  </w:txbxContent>
                </v:textbox>
              </v:roundrect>
            </w:pict>
          </mc:Fallback>
        </mc:AlternateContent>
      </w:r>
    </w:p>
    <w:p w:rsidR="00BA7C5A" w:rsidRPr="00BA7C5A" w:rsidRDefault="00BA7C5A" w:rsidP="00BA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C5A" w:rsidRPr="00BA7C5A" w:rsidRDefault="00BA7C5A" w:rsidP="00BA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p w:rsidR="00BA7C5A" w:rsidRPr="0060113F" w:rsidRDefault="00BA7C5A" w:rsidP="0060113F">
      <w:pPr>
        <w:spacing w:after="0" w:line="240" w:lineRule="auto"/>
        <w:jc w:val="both"/>
        <w:rPr>
          <w:sz w:val="20"/>
          <w:szCs w:val="20"/>
        </w:rPr>
      </w:pPr>
    </w:p>
    <w:sectPr w:rsidR="00BA7C5A" w:rsidRPr="0060113F" w:rsidSect="008D26EC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F8" w:rsidRDefault="005633F8" w:rsidP="008D26EC">
      <w:pPr>
        <w:spacing w:after="0" w:line="240" w:lineRule="auto"/>
      </w:pPr>
      <w:r>
        <w:separator/>
      </w:r>
    </w:p>
  </w:endnote>
  <w:endnote w:type="continuationSeparator" w:id="0">
    <w:p w:rsidR="005633F8" w:rsidRDefault="005633F8" w:rsidP="008D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F8" w:rsidRDefault="005633F8" w:rsidP="008D26EC">
      <w:pPr>
        <w:spacing w:after="0" w:line="240" w:lineRule="auto"/>
      </w:pPr>
      <w:r>
        <w:separator/>
      </w:r>
    </w:p>
  </w:footnote>
  <w:footnote w:type="continuationSeparator" w:id="0">
    <w:p w:rsidR="005633F8" w:rsidRDefault="005633F8" w:rsidP="008D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86044"/>
      <w:docPartObj>
        <w:docPartGallery w:val="Page Numbers (Top of Page)"/>
        <w:docPartUnique/>
      </w:docPartObj>
    </w:sdtPr>
    <w:sdtEndPr/>
    <w:sdtContent>
      <w:p w:rsidR="008D26EC" w:rsidRPr="008D26EC" w:rsidRDefault="008D26EC" w:rsidP="008D26EC">
        <w:pPr>
          <w:pStyle w:val="a3"/>
          <w:ind w:right="360"/>
          <w:jc w:val="both"/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eastAsia="ru-RU"/>
          </w:rPr>
        </w:pPr>
        <w:r w:rsidRPr="008D26EC">
          <w:rPr>
            <w:rFonts w:ascii="Times New Roman" w:eastAsia="Times New Roman" w:hAnsi="Times New Roman" w:cs="Times New Roman"/>
            <w:i/>
            <w:iCs/>
            <w:sz w:val="20"/>
            <w:szCs w:val="24"/>
            <w:lang w:eastAsia="ru-RU"/>
          </w:rPr>
          <w:t xml:space="preserve">«Коломыцевский  муниципальный вестник» --------------------------------- </w:t>
        </w:r>
        <w:r>
          <w:rPr>
            <w:rFonts w:ascii="Times New Roman" w:eastAsia="Times New Roman" w:hAnsi="Times New Roman" w:cs="Times New Roman"/>
            <w:i/>
            <w:iCs/>
            <w:sz w:val="20"/>
            <w:szCs w:val="24"/>
            <w:lang w:eastAsia="ru-RU"/>
          </w:rPr>
          <w:t>15  июля  2020 г</w:t>
        </w:r>
        <w:r w:rsidRPr="008D26EC">
          <w:rPr>
            <w:rFonts w:ascii="Times New Roman" w:eastAsia="Times New Roman" w:hAnsi="Times New Roman" w:cs="Times New Roman"/>
            <w:i/>
            <w:iCs/>
            <w:sz w:val="20"/>
            <w:szCs w:val="24"/>
            <w:lang w:eastAsia="ru-RU"/>
          </w:rPr>
          <w:t xml:space="preserve">      №</w:t>
        </w:r>
        <w:r w:rsidRPr="008D26EC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eastAsia="ru-RU"/>
          </w:rPr>
          <w:t xml:space="preserve">  </w:t>
        </w:r>
        <w:r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eastAsia="ru-RU"/>
          </w:rPr>
          <w:t>1</w:t>
        </w:r>
        <w:r w:rsidRPr="008D26EC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eastAsia="ru-RU"/>
          </w:rPr>
          <w:t>1</w:t>
        </w:r>
      </w:p>
      <w:p w:rsidR="008D26EC" w:rsidRPr="008D26EC" w:rsidRDefault="008D26EC" w:rsidP="008D26EC">
        <w:pPr>
          <w:tabs>
            <w:tab w:val="center" w:pos="4677"/>
            <w:tab w:val="right" w:pos="9355"/>
          </w:tabs>
          <w:spacing w:after="0" w:line="240" w:lineRule="auto"/>
          <w:ind w:right="360"/>
          <w:jc w:val="both"/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eastAsia="ru-RU"/>
          </w:rPr>
        </w:pPr>
        <w:r w:rsidRPr="008D26EC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4"/>
            <w:lang w:eastAsia="ru-RU"/>
          </w:rPr>
          <w:t xml:space="preserve">               </w:t>
        </w:r>
        <w:r w:rsidRPr="008D26EC">
          <w:rPr>
            <w:rFonts w:ascii="Times New Roman" w:eastAsia="Times New Roman" w:hAnsi="Times New Roman" w:cs="Times New Roman"/>
            <w:i/>
            <w:iCs/>
            <w:sz w:val="20"/>
            <w:szCs w:val="24"/>
            <w:lang w:eastAsia="ru-RU"/>
          </w:rPr>
          <w:t>стр.</w:t>
        </w:r>
      </w:p>
      <w:p w:rsidR="008D26EC" w:rsidRDefault="008D26E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BB">
          <w:rPr>
            <w:noProof/>
          </w:rPr>
          <w:t>15</w:t>
        </w:r>
        <w:r>
          <w:fldChar w:fldCharType="end"/>
        </w:r>
      </w:p>
    </w:sdtContent>
  </w:sdt>
  <w:p w:rsidR="008D26EC" w:rsidRPr="008D26EC" w:rsidRDefault="008D26EC" w:rsidP="008D26EC">
    <w:pPr>
      <w:pStyle w:val="a3"/>
      <w:tabs>
        <w:tab w:val="clear" w:pos="4677"/>
        <w:tab w:val="clear" w:pos="9355"/>
        <w:tab w:val="left" w:pos="1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43"/>
    <w:rsid w:val="00046BBB"/>
    <w:rsid w:val="0025669C"/>
    <w:rsid w:val="00292943"/>
    <w:rsid w:val="00337748"/>
    <w:rsid w:val="003A5F02"/>
    <w:rsid w:val="00503B35"/>
    <w:rsid w:val="005633F8"/>
    <w:rsid w:val="0060113F"/>
    <w:rsid w:val="008D26EC"/>
    <w:rsid w:val="00B61270"/>
    <w:rsid w:val="00BA7C5A"/>
    <w:rsid w:val="00E1196C"/>
    <w:rsid w:val="00E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D26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26EC"/>
    <w:rPr>
      <w:sz w:val="16"/>
      <w:szCs w:val="16"/>
    </w:rPr>
  </w:style>
  <w:style w:type="paragraph" w:styleId="a3">
    <w:name w:val="header"/>
    <w:basedOn w:val="a"/>
    <w:link w:val="a4"/>
    <w:unhideWhenUsed/>
    <w:rsid w:val="008D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D26EC"/>
  </w:style>
  <w:style w:type="paragraph" w:styleId="a5">
    <w:name w:val="footer"/>
    <w:basedOn w:val="a"/>
    <w:link w:val="a6"/>
    <w:unhideWhenUsed/>
    <w:rsid w:val="008D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D26EC"/>
  </w:style>
  <w:style w:type="numbering" w:customStyle="1" w:styleId="1">
    <w:name w:val="Нет списка1"/>
    <w:next w:val="a2"/>
    <w:uiPriority w:val="99"/>
    <w:semiHidden/>
    <w:unhideWhenUsed/>
    <w:rsid w:val="0060113F"/>
  </w:style>
  <w:style w:type="paragraph" w:styleId="a7">
    <w:name w:val="Balloon Text"/>
    <w:basedOn w:val="a"/>
    <w:link w:val="a8"/>
    <w:unhideWhenUsed/>
    <w:rsid w:val="00601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6011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1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2"/>
    <w:semiHidden/>
    <w:rsid w:val="0060113F"/>
  </w:style>
  <w:style w:type="character" w:styleId="aa">
    <w:name w:val="page number"/>
    <w:basedOn w:val="a0"/>
    <w:rsid w:val="0060113F"/>
  </w:style>
  <w:style w:type="table" w:styleId="ab">
    <w:name w:val="Table Grid"/>
    <w:basedOn w:val="a1"/>
    <w:rsid w:val="0060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011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0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0113F"/>
  </w:style>
  <w:style w:type="paragraph" w:styleId="ac">
    <w:name w:val="No Spacing"/>
    <w:uiPriority w:val="1"/>
    <w:qFormat/>
    <w:rsid w:val="0060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6011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e">
    <w:name w:val="Body Text Indent"/>
    <w:basedOn w:val="a"/>
    <w:link w:val="af"/>
    <w:rsid w:val="0060113F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01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60113F"/>
  </w:style>
  <w:style w:type="table" w:customStyle="1" w:styleId="10">
    <w:name w:val="Сетка таблицы1"/>
    <w:basedOn w:val="a1"/>
    <w:next w:val="ab"/>
    <w:rsid w:val="0060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D26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26EC"/>
    <w:rPr>
      <w:sz w:val="16"/>
      <w:szCs w:val="16"/>
    </w:rPr>
  </w:style>
  <w:style w:type="paragraph" w:styleId="a3">
    <w:name w:val="header"/>
    <w:basedOn w:val="a"/>
    <w:link w:val="a4"/>
    <w:unhideWhenUsed/>
    <w:rsid w:val="008D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D26EC"/>
  </w:style>
  <w:style w:type="paragraph" w:styleId="a5">
    <w:name w:val="footer"/>
    <w:basedOn w:val="a"/>
    <w:link w:val="a6"/>
    <w:unhideWhenUsed/>
    <w:rsid w:val="008D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D26EC"/>
  </w:style>
  <w:style w:type="numbering" w:customStyle="1" w:styleId="1">
    <w:name w:val="Нет списка1"/>
    <w:next w:val="a2"/>
    <w:uiPriority w:val="99"/>
    <w:semiHidden/>
    <w:unhideWhenUsed/>
    <w:rsid w:val="0060113F"/>
  </w:style>
  <w:style w:type="paragraph" w:styleId="a7">
    <w:name w:val="Balloon Text"/>
    <w:basedOn w:val="a"/>
    <w:link w:val="a8"/>
    <w:unhideWhenUsed/>
    <w:rsid w:val="00601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6011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01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2"/>
    <w:semiHidden/>
    <w:rsid w:val="0060113F"/>
  </w:style>
  <w:style w:type="character" w:styleId="aa">
    <w:name w:val="page number"/>
    <w:basedOn w:val="a0"/>
    <w:rsid w:val="0060113F"/>
  </w:style>
  <w:style w:type="table" w:styleId="ab">
    <w:name w:val="Table Grid"/>
    <w:basedOn w:val="a1"/>
    <w:rsid w:val="0060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011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0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0113F"/>
  </w:style>
  <w:style w:type="paragraph" w:styleId="ac">
    <w:name w:val="No Spacing"/>
    <w:uiPriority w:val="1"/>
    <w:qFormat/>
    <w:rsid w:val="0060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6011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e">
    <w:name w:val="Body Text Indent"/>
    <w:basedOn w:val="a"/>
    <w:link w:val="af"/>
    <w:rsid w:val="0060113F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01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60113F"/>
  </w:style>
  <w:style w:type="table" w:customStyle="1" w:styleId="10">
    <w:name w:val="Сетка таблицы1"/>
    <w:basedOn w:val="a1"/>
    <w:next w:val="ab"/>
    <w:rsid w:val="0060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45</Pages>
  <Words>13560</Words>
  <Characters>77292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2020-07-17T08:10:00Z</dcterms:created>
  <dcterms:modified xsi:type="dcterms:W3CDTF">2020-07-27T06:53:00Z</dcterms:modified>
</cp:coreProperties>
</file>