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A3" w:rsidRPr="004356A3" w:rsidRDefault="004356A3" w:rsidP="004356A3">
      <w:pPr>
        <w:pStyle w:val="Heading1"/>
        <w:jc w:val="center"/>
        <w:rPr>
          <w:rFonts w:ascii="Segoe UI" w:hAnsi="Segoe UI" w:cs="Segoe UI"/>
          <w:sz w:val="32"/>
          <w:szCs w:val="32"/>
        </w:rPr>
      </w:pPr>
      <w:r w:rsidRPr="004356A3">
        <w:rPr>
          <w:rFonts w:ascii="Segoe UI" w:hAnsi="Segoe UI" w:cs="Segoe UI"/>
          <w:sz w:val="32"/>
          <w:szCs w:val="32"/>
        </w:rPr>
        <w:t>ПРЕСС-РЕЛИЗ</w:t>
      </w:r>
    </w:p>
    <w:p w:rsidR="004356A3" w:rsidRPr="004356A3" w:rsidRDefault="004356A3" w:rsidP="004356A3">
      <w:pPr>
        <w:pStyle w:val="Heading1"/>
        <w:ind w:left="0" w:firstLine="0"/>
        <w:rPr>
          <w:rFonts w:ascii="Segoe UI" w:hAnsi="Segoe UI" w:cs="Segoe UI"/>
          <w:sz w:val="24"/>
          <w:szCs w:val="24"/>
        </w:rPr>
      </w:pPr>
    </w:p>
    <w:p w:rsidR="0004499A" w:rsidRDefault="004356A3" w:rsidP="004356A3">
      <w:pPr>
        <w:pStyle w:val="Heading1"/>
        <w:jc w:val="center"/>
        <w:rPr>
          <w:rFonts w:ascii="Segoe UI" w:hAnsi="Segoe UI" w:cs="Segoe UI"/>
          <w:b w:val="0"/>
          <w:sz w:val="32"/>
          <w:szCs w:val="32"/>
        </w:rPr>
      </w:pPr>
      <w:r w:rsidRPr="002D1D9A">
        <w:rPr>
          <w:rFonts w:ascii="Segoe UI" w:hAnsi="Segoe UI" w:cs="Segoe UI"/>
          <w:b w:val="0"/>
          <w:sz w:val="32"/>
          <w:szCs w:val="32"/>
        </w:rPr>
        <w:t xml:space="preserve">Кадастровая палата по Воронежской области </w:t>
      </w:r>
    </w:p>
    <w:p w:rsidR="0004499A" w:rsidRDefault="004356A3" w:rsidP="004356A3">
      <w:pPr>
        <w:pStyle w:val="Heading1"/>
        <w:jc w:val="center"/>
        <w:rPr>
          <w:rFonts w:ascii="Segoe UI" w:hAnsi="Segoe UI" w:cs="Segoe UI"/>
          <w:b w:val="0"/>
          <w:sz w:val="32"/>
          <w:szCs w:val="32"/>
        </w:rPr>
      </w:pPr>
      <w:r w:rsidRPr="002D1D9A">
        <w:rPr>
          <w:rFonts w:ascii="Segoe UI" w:hAnsi="Segoe UI" w:cs="Segoe UI"/>
          <w:b w:val="0"/>
          <w:sz w:val="32"/>
          <w:szCs w:val="32"/>
        </w:rPr>
        <w:t xml:space="preserve">завершила работу по внесению границ </w:t>
      </w:r>
    </w:p>
    <w:p w:rsidR="007B67ED" w:rsidRPr="002D1D9A" w:rsidRDefault="004356A3" w:rsidP="004356A3">
      <w:pPr>
        <w:pStyle w:val="Heading1"/>
        <w:jc w:val="center"/>
        <w:rPr>
          <w:rFonts w:ascii="Segoe UI" w:hAnsi="Segoe UI" w:cs="Segoe UI"/>
          <w:b w:val="0"/>
          <w:sz w:val="32"/>
          <w:szCs w:val="32"/>
        </w:rPr>
      </w:pPr>
      <w:r w:rsidRPr="002D1D9A">
        <w:rPr>
          <w:rFonts w:ascii="Segoe UI" w:hAnsi="Segoe UI" w:cs="Segoe UI"/>
          <w:b w:val="0"/>
          <w:sz w:val="32"/>
          <w:szCs w:val="32"/>
        </w:rPr>
        <w:t>муниципальных образований в ЕГРН</w:t>
      </w:r>
    </w:p>
    <w:p w:rsidR="004356A3" w:rsidRPr="004356A3" w:rsidRDefault="004356A3" w:rsidP="004356A3">
      <w:pPr>
        <w:pStyle w:val="Heading1"/>
        <w:jc w:val="center"/>
        <w:rPr>
          <w:rFonts w:ascii="Segoe UI" w:hAnsi="Segoe UI" w:cs="Segoe UI"/>
        </w:rPr>
      </w:pPr>
    </w:p>
    <w:p w:rsidR="00585E5E" w:rsidRDefault="004356A3" w:rsidP="00585E5E">
      <w:pPr>
        <w:pStyle w:val="a3"/>
        <w:spacing w:before="0"/>
        <w:ind w:left="0" w:firstLine="709"/>
        <w:rPr>
          <w:rFonts w:ascii="Segoe UI" w:hAnsi="Segoe UI" w:cs="Segoe UI"/>
          <w:sz w:val="24"/>
          <w:szCs w:val="24"/>
        </w:rPr>
      </w:pPr>
      <w:r w:rsidRPr="002D1D9A">
        <w:rPr>
          <w:rFonts w:ascii="Segoe UI" w:hAnsi="Segoe UI" w:cs="Segoe UI"/>
          <w:sz w:val="24"/>
          <w:szCs w:val="24"/>
        </w:rPr>
        <w:t>Всего на</w:t>
      </w:r>
      <w:r w:rsidR="0004499A">
        <w:rPr>
          <w:rFonts w:ascii="Segoe UI" w:hAnsi="Segoe UI" w:cs="Segoe UI"/>
          <w:sz w:val="24"/>
          <w:szCs w:val="24"/>
        </w:rPr>
        <w:t xml:space="preserve"> территории Воронежской области </w:t>
      </w:r>
      <w:r w:rsidRPr="002D1D9A">
        <w:rPr>
          <w:rFonts w:ascii="Segoe UI" w:hAnsi="Segoe UI" w:cs="Segoe UI"/>
          <w:sz w:val="24"/>
          <w:szCs w:val="24"/>
        </w:rPr>
        <w:t>внесено 479 границ муниципальных образований</w:t>
      </w:r>
    </w:p>
    <w:p w:rsidR="007B67ED" w:rsidRPr="00585E5E" w:rsidRDefault="0004499A" w:rsidP="00585E5E">
      <w:pPr>
        <w:pStyle w:val="a3"/>
        <w:spacing w:before="0"/>
        <w:ind w:left="0" w:firstLine="709"/>
        <w:rPr>
          <w:rFonts w:ascii="Segoe UI" w:hAnsi="Segoe UI" w:cs="Segoe UI"/>
          <w:sz w:val="24"/>
          <w:szCs w:val="24"/>
        </w:rPr>
      </w:pPr>
      <w:r w:rsidRPr="00585E5E">
        <w:rPr>
          <w:rFonts w:ascii="Segoe UI" w:hAnsi="Segoe UI" w:cs="Segoe UI"/>
          <w:sz w:val="24"/>
          <w:szCs w:val="24"/>
        </w:rPr>
        <w:t>По итогам первого квартала 2019 года в Едином государственном реестре недвижимости (ЕГРН) содержатся сведения о 13 </w:t>
      </w:r>
      <w:r w:rsidRPr="00585E5E">
        <w:rPr>
          <w:rFonts w:ascii="Segoe UI" w:hAnsi="Segoe UI" w:cs="Segoe UI"/>
          <w:spacing w:val="-5"/>
          <w:sz w:val="24"/>
          <w:szCs w:val="24"/>
        </w:rPr>
        <w:t>143</w:t>
      </w:r>
      <w:r w:rsidRPr="00585E5E">
        <w:rPr>
          <w:rFonts w:ascii="Segoe UI" w:hAnsi="Segoe UI" w:cs="Segoe UI"/>
          <w:sz w:val="24"/>
          <w:szCs w:val="24"/>
        </w:rPr>
        <w:t xml:space="preserve"> границах муниципальных образований Российской Федерации, что составляет 60% от общего количества</w:t>
      </w:r>
      <w:r w:rsidR="004356A3" w:rsidRPr="00585E5E">
        <w:rPr>
          <w:rFonts w:ascii="Segoe UI" w:hAnsi="Segoe UI" w:cs="Segoe UI"/>
          <w:sz w:val="24"/>
          <w:szCs w:val="24"/>
        </w:rPr>
        <w:t>.</w:t>
      </w:r>
    </w:p>
    <w:p w:rsidR="007B67ED" w:rsidRPr="002D1D9A" w:rsidRDefault="004356A3" w:rsidP="004356A3">
      <w:pPr>
        <w:ind w:left="101" w:firstLine="751"/>
        <w:jc w:val="both"/>
        <w:rPr>
          <w:rFonts w:ascii="Segoe UI" w:hAnsi="Segoe UI" w:cs="Segoe UI"/>
          <w:b/>
          <w:sz w:val="24"/>
          <w:szCs w:val="24"/>
        </w:rPr>
      </w:pPr>
      <w:r w:rsidRPr="002D1D9A">
        <w:rPr>
          <w:rFonts w:ascii="Segoe UI" w:hAnsi="Segoe UI" w:cs="Segoe UI"/>
          <w:sz w:val="24"/>
          <w:szCs w:val="24"/>
        </w:rPr>
        <w:t>«</w:t>
      </w:r>
      <w:r w:rsidRPr="002D1D9A">
        <w:rPr>
          <w:rFonts w:ascii="Segoe UI" w:hAnsi="Segoe UI" w:cs="Segoe UI"/>
          <w:i/>
          <w:sz w:val="24"/>
          <w:szCs w:val="24"/>
        </w:rPr>
        <w:t xml:space="preserve">По итогам первого квартала 2019 года более половины </w:t>
      </w:r>
      <w:r w:rsidRPr="002D1D9A">
        <w:rPr>
          <w:rFonts w:ascii="Segoe UI" w:hAnsi="Segoe UI" w:cs="Segoe UI"/>
          <w:i/>
          <w:spacing w:val="-3"/>
          <w:sz w:val="24"/>
          <w:szCs w:val="24"/>
        </w:rPr>
        <w:t xml:space="preserve">границ </w:t>
      </w:r>
      <w:r w:rsidRPr="002D1D9A">
        <w:rPr>
          <w:rFonts w:ascii="Segoe UI" w:hAnsi="Segoe UI" w:cs="Segoe UI"/>
          <w:i/>
          <w:sz w:val="24"/>
          <w:szCs w:val="24"/>
        </w:rPr>
        <w:t xml:space="preserve">муниципальных образований внесены в ЕГРН. Наличие актуальных </w:t>
      </w:r>
      <w:r w:rsidRPr="002D1D9A">
        <w:rPr>
          <w:rFonts w:ascii="Segoe UI" w:hAnsi="Segoe UI" w:cs="Segoe UI"/>
          <w:i/>
          <w:spacing w:val="-3"/>
          <w:sz w:val="24"/>
          <w:szCs w:val="24"/>
        </w:rPr>
        <w:t xml:space="preserve">сведений  </w:t>
      </w:r>
      <w:r w:rsidRPr="002D1D9A">
        <w:rPr>
          <w:rFonts w:ascii="Segoe UI" w:hAnsi="Segoe UI" w:cs="Segoe UI"/>
          <w:i/>
          <w:sz w:val="24"/>
          <w:szCs w:val="24"/>
        </w:rPr>
        <w:t xml:space="preserve">в реестре способствует развитию территорий, </w:t>
      </w:r>
      <w:r w:rsidRPr="002D1D9A">
        <w:rPr>
          <w:rFonts w:ascii="Segoe UI" w:hAnsi="Segoe UI" w:cs="Segoe UI"/>
          <w:i/>
          <w:spacing w:val="-2"/>
          <w:sz w:val="24"/>
          <w:szCs w:val="24"/>
        </w:rPr>
        <w:t xml:space="preserve">рациональному </w:t>
      </w:r>
      <w:r w:rsidRPr="002D1D9A">
        <w:rPr>
          <w:rFonts w:ascii="Segoe UI" w:hAnsi="Segoe UI" w:cs="Segoe UI"/>
          <w:i/>
          <w:sz w:val="24"/>
          <w:szCs w:val="24"/>
        </w:rPr>
        <w:t xml:space="preserve">использованию земельных ресурсов, эффективному налогообложению, </w:t>
      </w:r>
      <w:r w:rsidRPr="002D1D9A">
        <w:rPr>
          <w:rFonts w:ascii="Segoe UI" w:hAnsi="Segoe UI" w:cs="Segoe UI"/>
          <w:i/>
          <w:spacing w:val="-19"/>
          <w:sz w:val="24"/>
          <w:szCs w:val="24"/>
        </w:rPr>
        <w:t xml:space="preserve">а </w:t>
      </w:r>
      <w:r w:rsidRPr="002D1D9A">
        <w:rPr>
          <w:rFonts w:ascii="Segoe UI" w:hAnsi="Segoe UI" w:cs="Segoe UI"/>
          <w:i/>
          <w:sz w:val="24"/>
          <w:szCs w:val="24"/>
        </w:rPr>
        <w:t xml:space="preserve">также гарантирует права собственников недвижимости, снижает </w:t>
      </w:r>
      <w:r w:rsidRPr="002D1D9A">
        <w:rPr>
          <w:rFonts w:ascii="Segoe UI" w:hAnsi="Segoe UI" w:cs="Segoe UI"/>
          <w:i/>
          <w:spacing w:val="-4"/>
          <w:sz w:val="24"/>
          <w:szCs w:val="24"/>
        </w:rPr>
        <w:t xml:space="preserve">риски </w:t>
      </w:r>
      <w:r w:rsidRPr="002D1D9A">
        <w:rPr>
          <w:rFonts w:ascii="Segoe UI" w:hAnsi="Segoe UI" w:cs="Segoe UI"/>
          <w:i/>
          <w:sz w:val="24"/>
          <w:szCs w:val="24"/>
        </w:rPr>
        <w:t>ведения бизнеса</w:t>
      </w:r>
      <w:r w:rsidRPr="002D1D9A">
        <w:rPr>
          <w:rFonts w:ascii="Segoe UI" w:hAnsi="Segoe UI" w:cs="Segoe UI"/>
          <w:sz w:val="24"/>
          <w:szCs w:val="24"/>
        </w:rPr>
        <w:t xml:space="preserve">», - сказала Марина Семенова, </w:t>
      </w:r>
      <w:proofErr w:type="spellStart"/>
      <w:r w:rsidRPr="002D1D9A">
        <w:rPr>
          <w:rFonts w:ascii="Segoe UI" w:hAnsi="Segoe UI" w:cs="Segoe UI"/>
          <w:sz w:val="24"/>
          <w:szCs w:val="24"/>
        </w:rPr>
        <w:t>замглавы</w:t>
      </w:r>
      <w:proofErr w:type="spellEnd"/>
      <w:r w:rsidRPr="002D1D9A">
        <w:rPr>
          <w:rFonts w:ascii="Segoe UI" w:hAnsi="Segoe UI" w:cs="Segoe UI"/>
          <w:sz w:val="24"/>
          <w:szCs w:val="24"/>
        </w:rPr>
        <w:t xml:space="preserve"> Федеральной кадастровой палаты Росреестра.</w:t>
      </w:r>
    </w:p>
    <w:p w:rsidR="007B67ED" w:rsidRPr="002D1D9A" w:rsidRDefault="004356A3" w:rsidP="004356A3">
      <w:pPr>
        <w:pStyle w:val="a3"/>
        <w:spacing w:before="0"/>
        <w:ind w:firstLine="567"/>
        <w:rPr>
          <w:rFonts w:ascii="Segoe UI" w:hAnsi="Segoe UI" w:cs="Segoe UI"/>
          <w:sz w:val="24"/>
          <w:szCs w:val="24"/>
        </w:rPr>
      </w:pPr>
      <w:r w:rsidRPr="002D1D9A">
        <w:rPr>
          <w:rFonts w:ascii="Segoe UI" w:hAnsi="Segoe UI" w:cs="Segoe UI"/>
          <w:sz w:val="24"/>
          <w:szCs w:val="24"/>
        </w:rPr>
        <w:t xml:space="preserve">В первом квартале 2019 года наиболее активную работу по внесению сведений о границах муниципальных образований провели в Курганской области, Республике Тыва, Оренбургской области, </w:t>
      </w:r>
      <w:proofErr w:type="gramStart"/>
      <w:r w:rsidRPr="002D1D9A">
        <w:rPr>
          <w:rFonts w:ascii="Segoe UI" w:hAnsi="Segoe UI" w:cs="Segoe UI"/>
          <w:sz w:val="24"/>
          <w:szCs w:val="24"/>
        </w:rPr>
        <w:t>г</w:t>
      </w:r>
      <w:proofErr w:type="gramEnd"/>
      <w:r w:rsidRPr="002D1D9A">
        <w:rPr>
          <w:rFonts w:ascii="Segoe UI" w:hAnsi="Segoe UI" w:cs="Segoe UI"/>
          <w:sz w:val="24"/>
          <w:szCs w:val="24"/>
        </w:rPr>
        <w:t>. Санкт-Петербурге и Забайкальском крае.</w:t>
      </w:r>
    </w:p>
    <w:p w:rsidR="007B67ED" w:rsidRPr="002D1D9A" w:rsidRDefault="004356A3" w:rsidP="004356A3">
      <w:pPr>
        <w:pStyle w:val="a3"/>
        <w:spacing w:before="0"/>
        <w:ind w:firstLine="567"/>
        <w:rPr>
          <w:rFonts w:ascii="Segoe UI" w:hAnsi="Segoe UI" w:cs="Segoe UI"/>
          <w:sz w:val="24"/>
          <w:szCs w:val="24"/>
        </w:rPr>
      </w:pPr>
      <w:r w:rsidRPr="002D1D9A">
        <w:rPr>
          <w:rFonts w:ascii="Segoe UI" w:hAnsi="Segoe UI" w:cs="Segoe UI"/>
          <w:sz w:val="24"/>
          <w:szCs w:val="24"/>
        </w:rPr>
        <w:t xml:space="preserve">В ЕГРН внесены все границы муниципальных образований в 12 субъектах Российской Федерации: </w:t>
      </w:r>
      <w:proofErr w:type="gramStart"/>
      <w:r w:rsidR="0004499A">
        <w:rPr>
          <w:rFonts w:ascii="Segoe UI" w:hAnsi="Segoe UI" w:cs="Segoe UI"/>
          <w:sz w:val="24"/>
          <w:szCs w:val="24"/>
        </w:rPr>
        <w:t xml:space="preserve">Воронежской, Амурской, Владимирской, </w:t>
      </w:r>
      <w:r w:rsidRPr="002D1D9A">
        <w:rPr>
          <w:rFonts w:ascii="Segoe UI" w:hAnsi="Segoe UI" w:cs="Segoe UI"/>
          <w:sz w:val="24"/>
          <w:szCs w:val="24"/>
        </w:rPr>
        <w:t xml:space="preserve">Новосибирской, Рязанской, Сахалинской, Смоленской, Челябинской областях, </w:t>
      </w:r>
      <w:r w:rsidR="0004499A" w:rsidRPr="002D1D9A">
        <w:rPr>
          <w:rFonts w:ascii="Segoe UI" w:hAnsi="Segoe UI" w:cs="Segoe UI"/>
          <w:sz w:val="24"/>
          <w:szCs w:val="24"/>
        </w:rPr>
        <w:t xml:space="preserve">в Республиках Алтай и Татарстан, Алтайском крае </w:t>
      </w:r>
      <w:r w:rsidR="0004499A">
        <w:rPr>
          <w:rFonts w:ascii="Segoe UI" w:hAnsi="Segoe UI" w:cs="Segoe UI"/>
          <w:sz w:val="24"/>
          <w:szCs w:val="24"/>
        </w:rPr>
        <w:t xml:space="preserve">и </w:t>
      </w:r>
      <w:r w:rsidRPr="002D1D9A">
        <w:rPr>
          <w:rFonts w:ascii="Segoe UI" w:hAnsi="Segoe UI" w:cs="Segoe UI"/>
          <w:sz w:val="24"/>
          <w:szCs w:val="24"/>
        </w:rPr>
        <w:t>Ямало-Ненецком автономном округе</w:t>
      </w:r>
      <w:r w:rsidR="0004499A">
        <w:rPr>
          <w:rFonts w:ascii="Segoe UI" w:hAnsi="Segoe UI" w:cs="Segoe UI"/>
          <w:sz w:val="24"/>
          <w:szCs w:val="24"/>
        </w:rPr>
        <w:t>.</w:t>
      </w:r>
      <w:proofErr w:type="gramEnd"/>
    </w:p>
    <w:p w:rsidR="004356A3" w:rsidRPr="002D1D9A" w:rsidRDefault="004356A3" w:rsidP="004356A3">
      <w:pPr>
        <w:pStyle w:val="a3"/>
        <w:spacing w:before="0"/>
        <w:ind w:firstLine="567"/>
        <w:rPr>
          <w:rFonts w:ascii="Segoe UI" w:hAnsi="Segoe UI" w:cs="Segoe UI"/>
          <w:sz w:val="24"/>
          <w:szCs w:val="24"/>
        </w:rPr>
      </w:pPr>
      <w:r w:rsidRPr="002D1D9A">
        <w:rPr>
          <w:rFonts w:ascii="Segoe UI" w:hAnsi="Segoe UI" w:cs="Segoe UI"/>
          <w:sz w:val="24"/>
          <w:szCs w:val="24"/>
        </w:rPr>
        <w:t>При этом в ЕГРН отсутствует информация о границах муниципальных образований, расположенных на территории Москвы,</w:t>
      </w:r>
      <w:r w:rsidRPr="002D1D9A">
        <w:rPr>
          <w:rFonts w:ascii="Segoe UI" w:hAnsi="Segoe UI" w:cs="Segoe UI"/>
          <w:spacing w:val="69"/>
          <w:sz w:val="24"/>
          <w:szCs w:val="24"/>
        </w:rPr>
        <w:t xml:space="preserve"> </w:t>
      </w:r>
      <w:r w:rsidRPr="002D1D9A">
        <w:rPr>
          <w:rFonts w:ascii="Segoe UI" w:hAnsi="Segoe UI" w:cs="Segoe UI"/>
          <w:spacing w:val="-2"/>
          <w:sz w:val="24"/>
          <w:szCs w:val="24"/>
        </w:rPr>
        <w:t>Севастополя,</w:t>
      </w:r>
      <w:r w:rsidRPr="002D1D9A">
        <w:rPr>
          <w:rFonts w:ascii="Segoe UI" w:hAnsi="Segoe UI" w:cs="Segoe UI"/>
          <w:sz w:val="24"/>
          <w:szCs w:val="24"/>
        </w:rPr>
        <w:t xml:space="preserve"> Магаданской и Ростовской областей, Республики Крым, а также Чукотского автономного округа.</w:t>
      </w:r>
    </w:p>
    <w:p w:rsidR="007B67ED" w:rsidRDefault="007B67ED" w:rsidP="004356A3">
      <w:pPr>
        <w:rPr>
          <w:rFonts w:ascii="Segoe UI" w:hAnsi="Segoe UI" w:cs="Segoe UI"/>
        </w:rPr>
      </w:pPr>
    </w:p>
    <w:p w:rsidR="002D1D9A" w:rsidRDefault="002D1D9A" w:rsidP="004356A3">
      <w:pPr>
        <w:rPr>
          <w:rFonts w:ascii="Segoe UI" w:hAnsi="Segoe UI" w:cs="Segoe UI"/>
        </w:rPr>
      </w:pPr>
    </w:p>
    <w:p w:rsidR="002D1D9A" w:rsidRDefault="002D1D9A" w:rsidP="004356A3">
      <w:pPr>
        <w:rPr>
          <w:rFonts w:ascii="Segoe UI" w:hAnsi="Segoe UI" w:cs="Segoe UI"/>
        </w:rPr>
      </w:pPr>
    </w:p>
    <w:p w:rsidR="002D1D9A" w:rsidRPr="00905649" w:rsidRDefault="002D1D9A" w:rsidP="002D1D9A">
      <w:pPr>
        <w:jc w:val="both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2D1D9A" w:rsidRPr="00905649" w:rsidRDefault="002D1D9A" w:rsidP="002D1D9A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2D1D9A" w:rsidRPr="00905649" w:rsidRDefault="002D1D9A" w:rsidP="002D1D9A">
      <w:pPr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2D1D9A" w:rsidRPr="00905649" w:rsidRDefault="002D1D9A" w:rsidP="002D1D9A">
      <w:pPr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2D1D9A" w:rsidRPr="00905649" w:rsidRDefault="002D1D9A" w:rsidP="002D1D9A">
      <w:pPr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2D1D9A" w:rsidRPr="00905649" w:rsidRDefault="002D1D9A" w:rsidP="002D1D9A">
      <w:pPr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2D1D9A" w:rsidRPr="00905649" w:rsidRDefault="002D1D9A" w:rsidP="002D1D9A">
      <w:pPr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2D1D9A" w:rsidRPr="00752984" w:rsidRDefault="002D1D9A" w:rsidP="002D1D9A">
      <w:pPr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4356A3" w:rsidRDefault="004356A3" w:rsidP="004356A3">
      <w:pPr>
        <w:rPr>
          <w:rFonts w:ascii="Segoe UI" w:hAnsi="Segoe UI" w:cs="Segoe UI"/>
        </w:rPr>
      </w:pPr>
    </w:p>
    <w:p w:rsidR="004356A3" w:rsidRDefault="004356A3" w:rsidP="004356A3">
      <w:pPr>
        <w:rPr>
          <w:rFonts w:ascii="Segoe UI" w:hAnsi="Segoe UI" w:cs="Segoe UI"/>
        </w:rPr>
      </w:pPr>
    </w:p>
    <w:p w:rsidR="004356A3" w:rsidRDefault="004356A3" w:rsidP="004356A3">
      <w:pPr>
        <w:rPr>
          <w:rFonts w:ascii="Segoe UI" w:hAnsi="Segoe UI" w:cs="Segoe UI"/>
        </w:rPr>
      </w:pPr>
    </w:p>
    <w:p w:rsidR="004356A3" w:rsidRDefault="004356A3" w:rsidP="004356A3">
      <w:pPr>
        <w:rPr>
          <w:rFonts w:ascii="Segoe UI" w:hAnsi="Segoe UI" w:cs="Segoe UI"/>
        </w:rPr>
      </w:pPr>
    </w:p>
    <w:p w:rsidR="004356A3" w:rsidRDefault="004356A3" w:rsidP="004356A3">
      <w:pPr>
        <w:rPr>
          <w:rFonts w:ascii="Segoe UI" w:hAnsi="Segoe UI" w:cs="Segoe UI"/>
        </w:rPr>
      </w:pPr>
    </w:p>
    <w:p w:rsidR="004356A3" w:rsidRDefault="004356A3" w:rsidP="004356A3">
      <w:pPr>
        <w:rPr>
          <w:rFonts w:ascii="Segoe UI" w:hAnsi="Segoe UI" w:cs="Segoe UI"/>
        </w:rPr>
      </w:pPr>
    </w:p>
    <w:p w:rsidR="004356A3" w:rsidRDefault="004356A3" w:rsidP="004356A3">
      <w:pPr>
        <w:rPr>
          <w:rFonts w:ascii="Segoe UI" w:hAnsi="Segoe UI" w:cs="Segoe UI"/>
        </w:rPr>
      </w:pPr>
    </w:p>
    <w:p w:rsidR="004356A3" w:rsidRDefault="004356A3" w:rsidP="004356A3">
      <w:pPr>
        <w:rPr>
          <w:rFonts w:ascii="Segoe UI" w:hAnsi="Segoe UI" w:cs="Segoe UI"/>
        </w:rPr>
      </w:pPr>
    </w:p>
    <w:p w:rsidR="004356A3" w:rsidRPr="004356A3" w:rsidRDefault="004356A3" w:rsidP="004356A3">
      <w:pPr>
        <w:pStyle w:val="a3"/>
        <w:spacing w:before="0"/>
        <w:ind w:left="0"/>
        <w:jc w:val="left"/>
        <w:rPr>
          <w:rFonts w:ascii="Segoe UI" w:hAnsi="Segoe UI" w:cs="Segoe UI"/>
        </w:rPr>
      </w:pPr>
    </w:p>
    <w:sectPr w:rsidR="004356A3" w:rsidRPr="004356A3" w:rsidSect="007B67ED">
      <w:pgSz w:w="11900" w:h="1682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67ED"/>
    <w:rsid w:val="0004499A"/>
    <w:rsid w:val="002D1D9A"/>
    <w:rsid w:val="004356A3"/>
    <w:rsid w:val="00585E5E"/>
    <w:rsid w:val="007B67ED"/>
    <w:rsid w:val="0089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7E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7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67ED"/>
    <w:pPr>
      <w:spacing w:before="160"/>
      <w:ind w:left="1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B67ED"/>
    <w:pPr>
      <w:ind w:left="101" w:right="102" w:firstLine="56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B67ED"/>
  </w:style>
  <w:style w:type="paragraph" w:customStyle="1" w:styleId="TableParagraph">
    <w:name w:val="Table Paragraph"/>
    <w:basedOn w:val="a"/>
    <w:uiPriority w:val="1"/>
    <w:qFormat/>
    <w:rsid w:val="007B67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Онуфриева </cp:lastModifiedBy>
  <cp:revision>2</cp:revision>
  <cp:lastPrinted>2019-05-14T06:55:00Z</cp:lastPrinted>
  <dcterms:created xsi:type="dcterms:W3CDTF">2019-05-14T07:21:00Z</dcterms:created>
  <dcterms:modified xsi:type="dcterms:W3CDTF">2019-05-14T07:21:00Z</dcterms:modified>
</cp:coreProperties>
</file>