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E" w:rsidRPr="0084741E" w:rsidRDefault="0055093A" w:rsidP="0084741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741E" w:rsidRDefault="0084741E" w:rsidP="0084741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41E" w:rsidRPr="0084741E" w:rsidRDefault="0084741E" w:rsidP="0084741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41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4741E" w:rsidRPr="0084741E" w:rsidRDefault="0084741E" w:rsidP="0084741E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41E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84741E" w:rsidRPr="0084741E" w:rsidRDefault="0084741E" w:rsidP="00847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4741E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84741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84741E" w:rsidRPr="0084741E" w:rsidRDefault="0084741E" w:rsidP="0084741E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41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4741E" w:rsidRPr="0084741E" w:rsidRDefault="0084741E" w:rsidP="008474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4741E" w:rsidRPr="0084741E" w:rsidRDefault="0084741E" w:rsidP="008474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4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4741E" w:rsidRPr="0084741E" w:rsidRDefault="0084741E" w:rsidP="008474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41E" w:rsidRPr="0055093A" w:rsidRDefault="0084741E" w:rsidP="008474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093A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55093A" w:rsidRPr="0055093A">
        <w:rPr>
          <w:rFonts w:ascii="Times New Roman" w:eastAsia="Calibri" w:hAnsi="Times New Roman" w:cs="Times New Roman"/>
          <w:sz w:val="28"/>
          <w:szCs w:val="28"/>
        </w:rPr>
        <w:t>23</w:t>
      </w:r>
      <w:proofErr w:type="gramEnd"/>
      <w:r w:rsidRPr="0055093A">
        <w:rPr>
          <w:rFonts w:ascii="Times New Roman" w:eastAsia="Calibri" w:hAnsi="Times New Roman" w:cs="Times New Roman"/>
          <w:sz w:val="28"/>
          <w:szCs w:val="28"/>
        </w:rPr>
        <w:t xml:space="preserve">    августа   2024 г.  №</w:t>
      </w:r>
      <w:r w:rsidR="0055093A" w:rsidRPr="0055093A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84741E" w:rsidRPr="0084741E" w:rsidRDefault="0084741E" w:rsidP="008474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741E">
        <w:rPr>
          <w:rFonts w:ascii="Times New Roman" w:eastAsia="Calibri" w:hAnsi="Times New Roman" w:cs="Times New Roman"/>
          <w:sz w:val="20"/>
          <w:szCs w:val="20"/>
        </w:rPr>
        <w:t xml:space="preserve">            с. </w:t>
      </w:r>
      <w:proofErr w:type="spellStart"/>
      <w:r w:rsidRPr="0084741E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84741E" w:rsidRPr="0084741E" w:rsidRDefault="0084741E" w:rsidP="008474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6883" w:rsidRPr="0084741E" w:rsidRDefault="0084741E" w:rsidP="004668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171" w:rsidRPr="001B151A" w:rsidRDefault="005F3171" w:rsidP="004668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7577D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Коломыцевский</w:t>
      </w:r>
      <w:proofErr w:type="spellEnd"/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1B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</w:p>
    <w:p w:rsidR="00CB51AD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CB51AD" w:rsidRDefault="00CB51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0773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933"/>
        <w:gridCol w:w="4840"/>
      </w:tblGrid>
      <w:tr w:rsidR="007D7AB2" w:rsidRPr="007D7AB2" w:rsidTr="0084741E">
        <w:trPr>
          <w:trHeight w:val="1332"/>
          <w:jc w:val="center"/>
        </w:trPr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 w:rsidR="0084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Коломыцевского</w:t>
            </w:r>
            <w:proofErr w:type="spellEnd"/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</w:t>
            </w:r>
            <w:r w:rsidRPr="0055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от   </w:t>
            </w:r>
            <w:r w:rsidR="0055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23.08.2024</w:t>
            </w:r>
            <w:r w:rsidRPr="0055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№</w:t>
            </w:r>
            <w:r w:rsidR="0055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proofErr w:type="spellStart"/>
      <w:r w:rsidR="0084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proofErr w:type="spellEnd"/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(отчество указывается при </w:t>
      </w:r>
      <w:r w:rsidR="00FA78C1"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3756"/>
        <w:gridCol w:w="2472"/>
        <w:gridCol w:w="1652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20____г.</w:t>
      </w:r>
    </w:p>
    <w:p w:rsidR="007D7AB2" w:rsidRPr="00FA78C1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(</w:t>
      </w:r>
      <w:proofErr w:type="gramStart"/>
      <w:r w:rsidRPr="00FA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  </w:t>
      </w:r>
      <w:proofErr w:type="gramEnd"/>
      <w:r w:rsidRPr="00FA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</w:t>
      </w:r>
      <w:r w:rsidR="00FA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A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FA78C1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spellStart"/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02"/>
        <w:gridCol w:w="939"/>
        <w:gridCol w:w="1488"/>
        <w:gridCol w:w="1112"/>
        <w:gridCol w:w="666"/>
        <w:gridCol w:w="768"/>
        <w:gridCol w:w="1060"/>
        <w:gridCol w:w="1003"/>
        <w:gridCol w:w="1518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поступле-ния</w:t>
            </w:r>
            <w:proofErr w:type="spellEnd"/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постановки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 </w:t>
            </w: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(отчество указывается при наличии )</w:t>
            </w:r>
            <w:r w:rsidRPr="00FA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год </w:t>
            </w:r>
            <w:proofErr w:type="spellStart"/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</w:t>
            </w:r>
            <w:proofErr w:type="spellEnd"/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</w:p>
          <w:p w:rsidR="007D7AB2" w:rsidRPr="00FA78C1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колонке 1 таблицы указывается присвоенный заявителю порядковый номер по реестру,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 исполнителя, отправившего,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расписку)_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использования площадью 74, 7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A7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 </w:t>
      </w:r>
      <w:r w:rsidR="00FA78C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FA78C1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spellStart"/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FA78C1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Приложение № 2 к постановлению администрации </w:t>
      </w:r>
      <w:proofErr w:type="spellStart"/>
      <w:r w:rsidR="0084741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Коломыцевского</w:t>
      </w:r>
      <w:proofErr w:type="spell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  </w:t>
      </w:r>
      <w:r w:rsidR="002F451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23.08.2024</w:t>
      </w:r>
      <w:proofErr w:type="gram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№</w:t>
      </w:r>
      <w:r w:rsidR="002F451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49</w:t>
      </w:r>
      <w:bookmarkStart w:id="0" w:name="_GoBack"/>
      <w:bookmarkEnd w:id="0"/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proofErr w:type="spellStart"/>
      <w:r w:rsidR="0084741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Коломыцевского</w:t>
      </w:r>
      <w:proofErr w:type="spellEnd"/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сети "Интернет»: </w:t>
      </w:r>
      <w:hyperlink r:id="rId5" w:history="1">
        <w:r w:rsidR="00FA78C1">
          <w:rPr>
            <w:rStyle w:val="a5"/>
            <w:rFonts w:ascii="Times New Roman" w:hAnsi="Times New Roman" w:cs="Times New Roman"/>
            <w:sz w:val="28"/>
            <w:szCs w:val="28"/>
          </w:rPr>
          <w:t>https://kolomycevskoe-r20.gosweb.gosuslugi.ru</w:t>
        </w:r>
      </w:hyperlink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847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</w:t>
      </w:r>
      <w:r w:rsidR="00FA78C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A78C1">
          <w:rPr>
            <w:rStyle w:val="a5"/>
            <w:rFonts w:ascii="Times New Roman" w:hAnsi="Times New Roman" w:cs="Times New Roman"/>
            <w:sz w:val="28"/>
            <w:szCs w:val="28"/>
          </w:rPr>
          <w:t>https://kolomycevskoe-r20.gosweb.gosuslugi.ru</w:t>
        </w:r>
      </w:hyperlink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r w:rsidR="00FA78C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штампа,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151A"/>
    <w:rsid w:val="001B71D1"/>
    <w:rsid w:val="001F3D9D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2F4517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66883"/>
    <w:rsid w:val="00486DE3"/>
    <w:rsid w:val="004C64C9"/>
    <w:rsid w:val="004F1189"/>
    <w:rsid w:val="00504553"/>
    <w:rsid w:val="0055093A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577D9"/>
    <w:rsid w:val="00771A24"/>
    <w:rsid w:val="00774BDA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4741E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1DBB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A78C1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3EDE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78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mycevskoe-r20.gosweb.gosuslugi.ru" TargetMode="External"/><Relationship Id="rId5" Type="http://schemas.openxmlformats.org/officeDocument/2006/relationships/hyperlink" Target="https://kolomycev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20</cp:revision>
  <cp:lastPrinted>2024-08-27T08:20:00Z</cp:lastPrinted>
  <dcterms:created xsi:type="dcterms:W3CDTF">2024-08-02T05:09:00Z</dcterms:created>
  <dcterms:modified xsi:type="dcterms:W3CDTF">2024-08-27T08:22:00Z</dcterms:modified>
</cp:coreProperties>
</file>