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D" w:rsidRDefault="00BF6CCD" w:rsidP="00BF6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BF6CCD" w:rsidRDefault="00BF6CCD" w:rsidP="00BF6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BF6CCD" w:rsidRDefault="00BF6CCD" w:rsidP="00BF6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BF6CCD" w:rsidRDefault="00BF6CCD" w:rsidP="00BF6CCD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F2607B" w:rsidRDefault="00BF6CCD" w:rsidP="00BF6C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BF6CCD" w:rsidRDefault="00BF6CCD" w:rsidP="00BF6C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РЕШЕНИЕ          </w:t>
      </w:r>
    </w:p>
    <w:p w:rsidR="00BF6CCD" w:rsidRDefault="00BF6CCD" w:rsidP="00BF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CD" w:rsidRDefault="00F2607B" w:rsidP="00BF6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  марта </w:t>
      </w:r>
      <w:r w:rsidR="00BF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г.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Pr="0079200E" w:rsidRDefault="00BF6CCD" w:rsidP="00B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BF6CCD" w:rsidRPr="0079200E" w:rsidRDefault="00BF6CCD" w:rsidP="00B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бюджета Коломыцевского сельского </w:t>
      </w:r>
    </w:p>
    <w:p w:rsidR="00BF6CCD" w:rsidRPr="0079200E" w:rsidRDefault="00BF6CCD" w:rsidP="00B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</w:t>
      </w:r>
    </w:p>
    <w:p w:rsidR="00BF6CCD" w:rsidRPr="0079200E" w:rsidRDefault="00BF6CCD" w:rsidP="00B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>района Воронежской области за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20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DF" w:rsidRDefault="00F2607B" w:rsidP="00024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2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представленный администрацией  Коломыцевского сельского поселения Лискинского муниципального района Воронежской области    отчета об исполнении бюджета Коломыцевского сельского поселения Лискинского  муниципального района за 201</w:t>
      </w:r>
      <w:r w:rsidR="00C1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2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заключение публичных слушаний от 1</w:t>
      </w:r>
      <w:r w:rsidR="00C1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2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.02.201</w:t>
      </w:r>
      <w:r w:rsidR="00C1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2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по утверждению отчета об исполнении бюджета Коломыцевского сельского поселения за 201</w:t>
      </w:r>
      <w:r w:rsidR="00C1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2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</w:t>
      </w:r>
      <w:proofErr w:type="gramEnd"/>
      <w:r w:rsidR="0002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в соответствии с Уставом Коломыцевского сельского поселения Лискинского муниципального района Воронежской области</w:t>
      </w:r>
    </w:p>
    <w:p w:rsidR="000244DF" w:rsidRDefault="000244DF" w:rsidP="000244D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Коломыцевского сельского поселения</w:t>
      </w:r>
    </w:p>
    <w:p w:rsidR="000244DF" w:rsidRDefault="000244DF" w:rsidP="000244D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F6CCD" w:rsidRPr="006400EB" w:rsidRDefault="00BF6CCD" w:rsidP="000244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4DF" w:rsidRDefault="000244DF" w:rsidP="000244D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Коломыцевского сельского поселения 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 года - по доходам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>8773,0  тыс. рублей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>
        <w:rPr>
          <w:rStyle w:val="s2"/>
          <w:rFonts w:ascii="Times New Roman" w:hAnsi="Times New Roman" w:cs="Times New Roman"/>
          <w:sz w:val="28"/>
          <w:szCs w:val="28"/>
        </w:rPr>
        <w:t>5857,3</w:t>
      </w:r>
      <w:r>
        <w:rPr>
          <w:rStyle w:val="s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>149,8 %,</w:t>
      </w:r>
      <w:r w:rsidR="00C1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собственных доходов получено 1318,7 тыс. рублей, что составляет 15 % от общей суммы доходов, Налоговых доходов в бюджет поселения поступило 1246,7 тыс. руб. или 100,8 % при плане 1236,7  тыс. рублей.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неналоговым доходам бюджет Коломыцевского сельского поселения  выполнен на 100% или поступило 71,5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плане 71,5  тыс. руб.</w:t>
      </w:r>
    </w:p>
    <w:p w:rsidR="000244DF" w:rsidRDefault="000244DF" w:rsidP="000244D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 8846,7 тыс. рублей при плане </w:t>
      </w:r>
      <w:r w:rsidRPr="00BB7CE4">
        <w:rPr>
          <w:rFonts w:ascii="Times New Roman" w:hAnsi="Times New Roman" w:cs="Times New Roman"/>
          <w:sz w:val="28"/>
          <w:szCs w:val="28"/>
        </w:rPr>
        <w:t>5881,3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150% к плану отчетного периода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фактическому исполнению составили 5881,3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общегосударственные вопросы 2333,9 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другие общегосударственные  вопросы  2,4 тыс. руб. 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>национальная оборона  68,3 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>обеспечение пожарной  безопасности  150,0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Обслуживание и ремонт дорог  1384,4 тыс. руб. 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>Водоснабжение  821,3 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>ЖКХ   1140,4 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702,2  тыс. руб.  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>Вывоз мусора 109,5 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>Уличное освещение 222,0  тыс. руб.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    106,6   </w:t>
      </w:r>
    </w:p>
    <w:p w:rsidR="000244DF" w:rsidRDefault="000244DF" w:rsidP="000244DF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Культура  1043,7  тыс. руб. </w:t>
      </w:r>
    </w:p>
    <w:p w:rsidR="000244DF" w:rsidRDefault="000244DF" w:rsidP="00024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 Ч Е Т</w:t>
      </w:r>
    </w:p>
    <w:p w:rsidR="000244DF" w:rsidRDefault="000244DF" w:rsidP="00024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КОЛОМЫЦЕВСКОГО сельского</w:t>
      </w:r>
    </w:p>
    <w:p w:rsidR="000244DF" w:rsidRDefault="000244DF" w:rsidP="00024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 доходам и расходам</w:t>
      </w:r>
    </w:p>
    <w:p w:rsidR="000244DF" w:rsidRDefault="000244DF" w:rsidP="00024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2017год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700"/>
        <w:gridCol w:w="745"/>
      </w:tblGrid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8773,0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1098,2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 находящихся  на территории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7454,2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5388,0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поселений                                                                       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after="0"/>
              <w:rPr>
                <w:rFonts w:cs="Times New Roman"/>
              </w:rPr>
            </w:pP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2336,2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1384,4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2721,3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1140,4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1043,7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812,1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4DF" w:rsidTr="00010C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4DF" w:rsidRDefault="000244DF" w:rsidP="000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8846,7</w:t>
            </w:r>
          </w:p>
        </w:tc>
      </w:tr>
    </w:tbl>
    <w:p w:rsidR="000244DF" w:rsidRDefault="000244DF" w:rsidP="000244DF"/>
    <w:p w:rsidR="00C10236" w:rsidRPr="006400EB" w:rsidRDefault="00C10236" w:rsidP="00C10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0236">
        <w:rPr>
          <w:rFonts w:ascii="Times New Roman" w:hAnsi="Times New Roman" w:cs="Times New Roman"/>
          <w:sz w:val="28"/>
          <w:szCs w:val="28"/>
        </w:rPr>
        <w:t>2.</w:t>
      </w:r>
      <w:r w:rsidR="000244DF">
        <w:t xml:space="preserve"> </w:t>
      </w:r>
      <w:r w:rsidR="000244DF" w:rsidRPr="00C1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обнародовать путём размещения в местах, предназначенных для обнародования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</w:t>
      </w: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стить </w:t>
      </w: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  в Интернете.</w:t>
      </w:r>
    </w:p>
    <w:p w:rsidR="00BF6CCD" w:rsidRPr="006400EB" w:rsidRDefault="00BF6CCD" w:rsidP="00BF6CCD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Pr="006400EB" w:rsidRDefault="00BF6CCD" w:rsidP="00BF6CCD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Pr="006400EB" w:rsidRDefault="00BF6CCD" w:rsidP="00BF6C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Коломыцевского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BF6CCD" w:rsidRPr="006400EB" w:rsidRDefault="00BF6CCD" w:rsidP="00BF6C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Pr="006400EB" w:rsidRDefault="00BF6CCD" w:rsidP="00BF6C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Pr="006400EB" w:rsidRDefault="00BF6CCD" w:rsidP="00BF6C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Pr="006400EB" w:rsidRDefault="00BF6CCD" w:rsidP="00BF6C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CD" w:rsidRDefault="00BF6CCD" w:rsidP="00B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D" w:rsidRDefault="00BF6CCD" w:rsidP="00BF6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D" w:rsidRDefault="00BF6CCD" w:rsidP="00BF6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D" w:rsidRDefault="00BF6CCD" w:rsidP="00BF6CCD">
      <w:pPr>
        <w:jc w:val="right"/>
        <w:rPr>
          <w:rFonts w:ascii="Times New Roman" w:hAnsi="Times New Roman" w:cs="Times New Roman"/>
          <w:lang w:eastAsia="ru-RU"/>
        </w:rPr>
      </w:pPr>
    </w:p>
    <w:p w:rsidR="00BF6CCD" w:rsidRDefault="00BF6CCD" w:rsidP="00BF6CCD">
      <w:pPr>
        <w:jc w:val="right"/>
        <w:rPr>
          <w:rFonts w:ascii="Times New Roman" w:hAnsi="Times New Roman" w:cs="Times New Roman"/>
          <w:lang w:eastAsia="ru-RU"/>
        </w:rPr>
      </w:pPr>
    </w:p>
    <w:p w:rsidR="00BF6CCD" w:rsidRDefault="00BF6CCD" w:rsidP="00BF6CCD">
      <w:pPr>
        <w:jc w:val="right"/>
        <w:rPr>
          <w:rFonts w:ascii="Times New Roman" w:hAnsi="Times New Roman" w:cs="Times New Roman"/>
          <w:lang w:eastAsia="ru-RU"/>
        </w:rPr>
      </w:pPr>
    </w:p>
    <w:p w:rsidR="00BF6CCD" w:rsidRDefault="00BF6CCD" w:rsidP="00BF6CCD">
      <w:pPr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BF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7"/>
    <w:rsid w:val="000244DF"/>
    <w:rsid w:val="007036DF"/>
    <w:rsid w:val="008C6F47"/>
    <w:rsid w:val="009715CB"/>
    <w:rsid w:val="00BF6CCD"/>
    <w:rsid w:val="00C10236"/>
    <w:rsid w:val="00F2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2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24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2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2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2018-03-15T06:55:00Z</dcterms:created>
  <dcterms:modified xsi:type="dcterms:W3CDTF">2018-03-15T07:30:00Z</dcterms:modified>
</cp:coreProperties>
</file>